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Default="003E589F" w:rsidP="003E589F">
      <w:pPr>
        <w:pStyle w:val="a3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AF400A3" wp14:editId="5DC95E21">
            <wp:extent cx="4392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9F" w:rsidRDefault="003E589F" w:rsidP="003E58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E589F" w:rsidRDefault="003E589F" w:rsidP="003E58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FD7D5B" w:rsidRPr="00E93EC1" w:rsidRDefault="00FD7D5B" w:rsidP="00FD7D5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демократичне скликання</w:t>
      </w:r>
    </w:p>
    <w:p w:rsidR="00FD7D5B" w:rsidRPr="00E93EC1" w:rsidRDefault="00FD7D5B" w:rsidP="00FD7D5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сесія</w:t>
      </w:r>
    </w:p>
    <w:p w:rsidR="003E589F" w:rsidRDefault="003E589F" w:rsidP="003E589F">
      <w:pPr>
        <w:pStyle w:val="a3"/>
        <w:rPr>
          <w:sz w:val="24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E589F" w:rsidRPr="00312521" w:rsidRDefault="003E589F" w:rsidP="003E589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89F" w:rsidRDefault="003E589F" w:rsidP="003E589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від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3E589F" w:rsidRPr="003B4009" w:rsidRDefault="003E589F" w:rsidP="003E589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226A06" w:rsidRDefault="00226A06" w:rsidP="003E589F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2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рішення міської ради 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22.11.2018</w:t>
      </w:r>
      <w:r w:rsidRPr="0022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року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3169-39</w:t>
      </w:r>
      <w:r w:rsidRPr="0022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18</w:t>
      </w:r>
      <w:r w:rsidRPr="0022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«Про затвердження Програми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співфінансування проведення капітальних ремонтів у житлових будинках ОСББ м. </w:t>
      </w:r>
      <w:r w:rsidR="000E3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Коломиї на 2018-2022 роки в новій редакції</w:t>
      </w:r>
      <w:r w:rsidR="000E3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3E589F" w:rsidRPr="00BD0728" w:rsidRDefault="003E589F" w:rsidP="003E589F">
      <w:pPr>
        <w:ind w:right="510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3E589F" w:rsidRPr="0015384E" w:rsidRDefault="003E589F" w:rsidP="00AC450E">
      <w:pPr>
        <w:pStyle w:val="a5"/>
        <w:shd w:val="clear" w:color="auto" w:fill="FFFFFF"/>
        <w:tabs>
          <w:tab w:val="left" w:pos="709"/>
          <w:tab w:val="left" w:pos="1134"/>
        </w:tabs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76399">
        <w:rPr>
          <w:color w:val="000000"/>
          <w:sz w:val="28"/>
          <w:szCs w:val="28"/>
        </w:rPr>
        <w:t xml:space="preserve">З метою </w:t>
      </w:r>
      <w:r w:rsidR="00956CE2">
        <w:rPr>
          <w:color w:val="000000"/>
          <w:sz w:val="28"/>
          <w:szCs w:val="28"/>
        </w:rPr>
        <w:t>підвищення рівня</w:t>
      </w:r>
      <w:r w:rsidR="00EF10DE">
        <w:rPr>
          <w:color w:val="000000"/>
          <w:sz w:val="28"/>
          <w:szCs w:val="28"/>
        </w:rPr>
        <w:t xml:space="preserve"> комфорту проживання мешканців територіальної громади через проведення капітальних ремонтів багатоквартирних житлових будинків ОСББ на умовах співфінансування</w:t>
      </w:r>
      <w:r w:rsidRPr="00476399">
        <w:rPr>
          <w:color w:val="000000"/>
          <w:sz w:val="28"/>
          <w:szCs w:val="28"/>
        </w:rPr>
        <w:t xml:space="preserve">, керуючись </w:t>
      </w:r>
      <w:r w:rsidR="002A7322">
        <w:rPr>
          <w:color w:val="000000"/>
          <w:sz w:val="28"/>
          <w:szCs w:val="28"/>
        </w:rPr>
        <w:t xml:space="preserve">Законами України </w:t>
      </w:r>
      <w:r w:rsidR="00956CE2" w:rsidRPr="00956CE2">
        <w:rPr>
          <w:color w:val="000000"/>
          <w:sz w:val="28"/>
          <w:szCs w:val="28"/>
        </w:rPr>
        <w:t xml:space="preserve">«Про місцеве самоврядування в Україні», </w:t>
      </w:r>
      <w:r w:rsidR="002A7322">
        <w:rPr>
          <w:color w:val="000000"/>
          <w:sz w:val="28"/>
          <w:szCs w:val="28"/>
        </w:rPr>
        <w:t>«Про об’єднання співвласників багатоквартирного будинку», «Про особливості здійснення права власності у багатоквартирному будинку»,</w:t>
      </w:r>
      <w:r w:rsidRPr="00476399">
        <w:rPr>
          <w:color w:val="000000"/>
          <w:sz w:val="28"/>
          <w:szCs w:val="28"/>
        </w:rPr>
        <w:t xml:space="preserve"> </w:t>
      </w:r>
      <w:r w:rsidR="00226A06">
        <w:rPr>
          <w:color w:val="000000"/>
          <w:sz w:val="28"/>
          <w:szCs w:val="28"/>
        </w:rPr>
        <w:t>міська рада</w:t>
      </w:r>
    </w:p>
    <w:p w:rsidR="003E589F" w:rsidRDefault="00226A06" w:rsidP="003E589F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="003E589F" w:rsidRPr="00C0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3E589F" w:rsidRPr="00BD0728" w:rsidRDefault="003E589F" w:rsidP="003E589F">
      <w:pPr>
        <w:ind w:right="-1" w:firstLine="708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</w:p>
    <w:p w:rsidR="00011D8F" w:rsidRPr="00011D8F" w:rsidRDefault="00226A06" w:rsidP="00011D8F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в рішення міської ради від 22.11.2018 року №3169-39/2018, </w:t>
      </w:r>
      <w:r w:rsid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11D8F"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Програми співфінансування проведення капітальних ремонт</w:t>
      </w:r>
      <w:r w:rsid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 у житлових будинках ОСББ м. </w:t>
      </w:r>
      <w:r w:rsidR="00011D8F"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Коломиї на 2018-2022 роки в новій редакції»</w:t>
      </w:r>
      <w:r w:rsid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1D8F" w:rsidRPr="00BD07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Програма)</w:t>
      </w:r>
      <w:r w:rsid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011D8F" w:rsidRDefault="002511BF" w:rsidP="00011D8F">
      <w:pPr>
        <w:pStyle w:val="ac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07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Викласти Додаток 1 до Програми «Перелік заходів, обсяги та джерела Програми співфінансування проведення капітальних ремонтів у житлових будинках ОСББ м. Коломиї на 20</w:t>
      </w:r>
      <w:r w:rsidR="00AC450E" w:rsidRPr="00BD07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BD07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-2022 роки у новій редакції (додається).</w:t>
      </w:r>
    </w:p>
    <w:p w:rsidR="002511BF" w:rsidRPr="00011D8F" w:rsidRDefault="00B96479" w:rsidP="00011D8F">
      <w:pPr>
        <w:pStyle w:val="ac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Викласти Додаток 2 до Програми «</w:t>
      </w:r>
      <w:r w:rsidR="00BD0728"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співфінансування проведення капітальних ремонтів в житлових будинках ОСББ </w:t>
      </w:r>
      <w:r w:rsidR="00B03F45"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Коломиї у новій редакції</w:t>
      </w:r>
      <w:r w:rsid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03F45" w:rsidRPr="00011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724D02" w:rsidRPr="00BD0728" w:rsidRDefault="00724D02" w:rsidP="00011D8F">
      <w:pPr>
        <w:pStyle w:val="ac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Організацію виконання рішення покласти на заступника міського голови Миколу </w:t>
      </w:r>
      <w:r w:rsidR="002511BF"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>АНДРУСЯКА</w:t>
      </w:r>
      <w:r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589F" w:rsidRPr="00BD0728" w:rsidRDefault="003E589F" w:rsidP="00011D8F">
      <w:pPr>
        <w:pStyle w:val="ac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</w:t>
      </w:r>
      <w:r w:rsidR="00724D02"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доручити постійній комісії з питань бюджету, інвестицій, соціально-економічного розвитку та зовнішньоекономічних відносин (Ігор </w:t>
      </w:r>
      <w:r w:rsidR="002511BF"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>КОСТЮК</w:t>
      </w:r>
      <w:r w:rsidR="00724D02" w:rsidRPr="00BD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3F45" w:rsidRDefault="00B03F45" w:rsidP="003E589F">
      <w:pPr>
        <w:ind w:right="-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:rsidR="00BD0728" w:rsidRDefault="003E589F" w:rsidP="00BD0728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622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724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r w:rsidR="00BD0728">
        <w:rPr>
          <w:b/>
          <w:sz w:val="28"/>
          <w:szCs w:val="28"/>
        </w:rPr>
        <w:br w:type="page"/>
      </w:r>
    </w:p>
    <w:p w:rsidR="003E589F" w:rsidRDefault="003E589F" w:rsidP="003E589F">
      <w:pPr>
        <w:rPr>
          <w:rFonts w:ascii="Times New Roman" w:hAnsi="Times New Roman" w:cs="Times New Roman"/>
          <w:sz w:val="28"/>
          <w:szCs w:val="28"/>
        </w:rPr>
        <w:sectPr w:rsidR="003E589F" w:rsidSect="00BD0728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3E589F" w:rsidRPr="00A82795" w:rsidRDefault="00A73167" w:rsidP="00513A32">
      <w:pPr>
        <w:ind w:left="1162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Додаток</w:t>
      </w:r>
      <w:r w:rsidR="00513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П</w:t>
      </w:r>
      <w:r w:rsidR="003E589F" w:rsidRPr="00A8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рограми</w:t>
      </w:r>
      <w:r w:rsidR="003E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589F" w:rsidRPr="00A82795" w:rsidRDefault="003E589F" w:rsidP="003E589F">
      <w:pPr>
        <w:ind w:left="1190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9F" w:rsidRPr="00A82795" w:rsidRDefault="003E589F" w:rsidP="003E589F">
      <w:pPr>
        <w:ind w:left="1190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89F" w:rsidRPr="00A82795" w:rsidRDefault="003E589F" w:rsidP="003E589F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Перелік заходів, обсяги та джерела фінансування </w:t>
      </w:r>
      <w:r w:rsidR="00A73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8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рограми </w:t>
      </w:r>
      <w:r w:rsidR="0014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9661FF" w:rsidRPr="0096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півфінансування проведення капітальних ремонтів ОСББ </w:t>
      </w:r>
      <w:r w:rsidR="0014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Коломиї</w:t>
      </w:r>
      <w:r w:rsidR="009661FF" w:rsidRPr="0096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2021-2022 роки</w:t>
      </w:r>
      <w:r w:rsidR="00A73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новій редакції</w:t>
      </w:r>
    </w:p>
    <w:tbl>
      <w:tblPr>
        <w:tblW w:w="1470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2253"/>
        <w:gridCol w:w="2202"/>
        <w:gridCol w:w="1343"/>
        <w:gridCol w:w="1223"/>
        <w:gridCol w:w="1127"/>
        <w:gridCol w:w="1127"/>
        <w:gridCol w:w="1127"/>
        <w:gridCol w:w="1127"/>
        <w:gridCol w:w="1127"/>
        <w:gridCol w:w="15"/>
        <w:gridCol w:w="1534"/>
        <w:gridCol w:w="15"/>
      </w:tblGrid>
      <w:tr w:rsidR="003E589F" w:rsidRPr="00A82795" w:rsidTr="00655FB7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E589F" w:rsidRPr="00F50ACF" w:rsidRDefault="003E589F" w:rsidP="00655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3E589F" w:rsidRPr="00F50ACF" w:rsidRDefault="003E589F" w:rsidP="00655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заходу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6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тис. грн..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E589F" w:rsidRPr="00F50ACF" w:rsidRDefault="003E589F" w:rsidP="00655FB7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Очікувані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результати</w:t>
            </w:r>
            <w:proofErr w:type="spellEnd"/>
          </w:p>
        </w:tc>
      </w:tr>
      <w:tr w:rsidR="003E589F" w:rsidRPr="00A82795" w:rsidTr="00655FB7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за джерелами фінансування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</w:trPr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E589F" w:rsidRPr="00F50ACF" w:rsidRDefault="003E589F" w:rsidP="005036E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кампанія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співвласників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багатоквартирних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будинків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(ОСББ) </w:t>
            </w: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</w:t>
            </w:r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порядком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фінансової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ідтримки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залученням</w:t>
            </w:r>
            <w:proofErr w:type="spellEnd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бюджетни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  <w:proofErr w:type="spellEnd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капітальних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ремонтів</w:t>
            </w:r>
            <w:proofErr w:type="spellEnd"/>
            <w:r w:rsidR="009B38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рганізація</w:t>
            </w:r>
            <w:proofErr w:type="spellEnd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семінарів</w:t>
            </w:r>
            <w:proofErr w:type="spellEnd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голів</w:t>
            </w:r>
            <w:proofErr w:type="spellEnd"/>
            <w:r w:rsidR="00C12233" w:rsidRP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ОСББ</w:t>
            </w:r>
            <w:r w:rsidR="00C122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інвестиційної політики та енергозбереження міської ради</w:t>
            </w:r>
          </w:p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  <w:r w:rsidR="003E589F" w:rsidRPr="00F50A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hideMark/>
          </w:tcPr>
          <w:p w:rsidR="003E589F" w:rsidRPr="00F50ACF" w:rsidRDefault="009B3863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алагодження співпраці між міською владою і мешканцями ОСББ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B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стимулювання активності мешканців у напрямку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окращення стану житлового фонду </w:t>
            </w: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9B3863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E589F" w:rsidRPr="00F50ACF" w:rsidRDefault="003E589F" w:rsidP="003C1565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</w:t>
            </w:r>
            <w:r w:rsidR="00C12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на проведення капітального ремонту багатоквартирного будинку </w:t>
            </w:r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 залученням бюджетних коштів, розгляд заяв Робочою групою та визначення об’єктів, що будуть профінансовані </w:t>
            </w:r>
            <w:r w:rsid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залученням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бюджетних коштів в 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межах п</w:t>
            </w:r>
            <w:r w:rsidR="0050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рограми</w:t>
            </w: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E589F" w:rsidRDefault="005036ED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ОСББ</w:t>
            </w:r>
          </w:p>
          <w:p w:rsidR="005036ED" w:rsidRPr="00F50ACF" w:rsidRDefault="005036ED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Робоча група 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питань виконання п</w:t>
            </w:r>
            <w:r w:rsidR="0076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рограми </w:t>
            </w:r>
            <w:r w:rsidR="00AC4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івфінансування проведення капітальних ремонтів ОСББ </w:t>
            </w:r>
            <w:r w:rsidR="00AC4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Коломиї</w:t>
            </w:r>
            <w:r w:rsidR="0076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E589F" w:rsidRPr="00F50ACF" w:rsidRDefault="00761C3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E589F" w:rsidRPr="00F50ACF" w:rsidRDefault="00761C3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6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творення сприятливих умов для збереження житлового фонду громади</w:t>
            </w: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589F" w:rsidRPr="00CA6B52" w:rsidTr="00655FB7">
        <w:trPr>
          <w:gridAfter w:val="1"/>
          <w:wAfter w:w="15" w:type="dxa"/>
          <w:trHeight w:val="11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E589F" w:rsidRPr="00F50ACF" w:rsidRDefault="00761C3F" w:rsidP="003C1565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капітальних ремонтів житлових будинків ОСББ </w:t>
            </w:r>
            <w:r w:rsid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залученням бюджетних ко</w:t>
            </w:r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штів </w:t>
            </w:r>
            <w:proofErr w:type="gramStart"/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7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межах п</w:t>
            </w:r>
            <w:r w:rsid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761C3F" w:rsidRPr="00F50ACF" w:rsidRDefault="00761C3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Коломийська міська рада</w:t>
            </w:r>
          </w:p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E589F" w:rsidRPr="00F50ACF" w:rsidRDefault="00761C3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2021-2022 роки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</w:t>
            </w:r>
            <w:r w:rsidRPr="00F50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3C1565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3E589F" w:rsidRPr="00F50ACF" w:rsidRDefault="003C1565" w:rsidP="00AC450E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адання фінансової допомоги ОСББ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суттєве поліпшення якості житла для жителів </w:t>
            </w:r>
            <w:r w:rsidR="00AC4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Коломиї</w:t>
            </w:r>
            <w:r w:rsidRP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забезпечення надійності та безпечної експлуатації житлового фонду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C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вирішення проблем, які найбільше хвилюють жителів </w:t>
            </w:r>
            <w:r w:rsidR="00AC4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AC450E">
              <w:t> </w:t>
            </w:r>
            <w:r w:rsidR="00AC4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Коломиї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3C1565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3C1565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89F" w:rsidRPr="00A82795" w:rsidTr="00655FB7">
        <w:trPr>
          <w:gridAfter w:val="1"/>
          <w:wAfter w:w="15" w:type="dxa"/>
          <w:trHeight w:val="113"/>
        </w:trPr>
        <w:tc>
          <w:tcPr>
            <w:tcW w:w="4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AC450E" w:rsidRDefault="003E589F" w:rsidP="003E589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E589F" w:rsidRPr="00AC450E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3C1565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3C1565" w:rsidRDefault="003C1565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89F" w:rsidRPr="00F50ACF" w:rsidRDefault="003E589F" w:rsidP="00655F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589F" w:rsidRPr="00F50ACF" w:rsidRDefault="003E589F" w:rsidP="00655FB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9F" w:rsidRDefault="003E589F" w:rsidP="003E58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589F" w:rsidRDefault="003E589F" w:rsidP="003E58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589F" w:rsidRPr="00500D97" w:rsidRDefault="003E589F" w:rsidP="003E58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0D97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F2108E" w:rsidRDefault="003E589F" w:rsidP="003E589F">
      <w:pPr>
        <w:pStyle w:val="a9"/>
        <w:rPr>
          <w:rFonts w:ascii="Times New Roman" w:hAnsi="Times New Roman" w:cs="Times New Roman"/>
          <w:sz w:val="28"/>
          <w:szCs w:val="28"/>
        </w:rPr>
      </w:pPr>
      <w:r w:rsidRPr="00500D97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F2108E">
        <w:rPr>
          <w:rFonts w:ascii="Times New Roman" w:hAnsi="Times New Roman" w:cs="Times New Roman"/>
          <w:sz w:val="28"/>
          <w:szCs w:val="28"/>
        </w:rPr>
        <w:t>інвестиційної політики</w:t>
      </w:r>
    </w:p>
    <w:p w:rsidR="003E589F" w:rsidRPr="00500D97" w:rsidRDefault="00F2108E" w:rsidP="003E58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енергозбереження міської ради</w:t>
      </w:r>
      <w:r w:rsidR="003E589F" w:rsidRPr="00500D97">
        <w:rPr>
          <w:rFonts w:ascii="Times New Roman" w:hAnsi="Times New Roman" w:cs="Times New Roman"/>
          <w:sz w:val="28"/>
          <w:szCs w:val="28"/>
        </w:rPr>
        <w:tab/>
      </w:r>
      <w:r w:rsidR="003E589F" w:rsidRPr="00500D97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>
        <w:rPr>
          <w:rFonts w:ascii="Times New Roman" w:hAnsi="Times New Roman" w:cs="Times New Roman"/>
          <w:sz w:val="28"/>
          <w:szCs w:val="28"/>
        </w:rPr>
        <w:tab/>
      </w:r>
      <w:r w:rsidR="003E589F" w:rsidRPr="00500D97">
        <w:rPr>
          <w:rFonts w:ascii="Times New Roman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b/>
          <w:sz w:val="28"/>
          <w:szCs w:val="28"/>
        </w:rPr>
        <w:t>Ірина ЖОЛОБ</w:t>
      </w:r>
    </w:p>
    <w:p w:rsidR="003E589F" w:rsidRPr="00500D97" w:rsidRDefault="003E589F" w:rsidP="003E58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589F" w:rsidRPr="00500D97" w:rsidRDefault="003E589F" w:rsidP="003E58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0D97">
        <w:rPr>
          <w:rFonts w:ascii="Times New Roman" w:hAnsi="Times New Roman" w:cs="Times New Roman"/>
          <w:b/>
          <w:sz w:val="28"/>
          <w:szCs w:val="28"/>
        </w:rPr>
        <w:t>Керівник Програми</w:t>
      </w:r>
    </w:p>
    <w:p w:rsidR="00B95F9D" w:rsidRDefault="003E589F" w:rsidP="003E589F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B95F9D" w:rsidSect="00C8516B">
          <w:pgSz w:w="16838" w:h="11906" w:orient="landscape"/>
          <w:pgMar w:top="1134" w:right="567" w:bottom="993" w:left="1701" w:header="709" w:footer="709" w:gutter="0"/>
          <w:pgNumType w:start="5"/>
          <w:cols w:space="708"/>
          <w:titlePg/>
          <w:docGrid w:linePitch="360"/>
        </w:sectPr>
      </w:pPr>
      <w:r w:rsidRPr="00500D97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500D97">
        <w:rPr>
          <w:rFonts w:ascii="Times New Roman" w:hAnsi="Times New Roman" w:cs="Times New Roman"/>
          <w:sz w:val="28"/>
          <w:szCs w:val="28"/>
        </w:rPr>
        <w:tab/>
      </w:r>
      <w:r w:rsidRPr="00500D97">
        <w:rPr>
          <w:rFonts w:ascii="Times New Roman" w:hAnsi="Times New Roman" w:cs="Times New Roman"/>
          <w:sz w:val="28"/>
          <w:szCs w:val="28"/>
        </w:rPr>
        <w:tab/>
      </w:r>
      <w:r w:rsidRPr="00500D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D97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F2108E">
        <w:rPr>
          <w:rFonts w:ascii="Times New Roman" w:hAnsi="Times New Roman" w:cs="Times New Roman"/>
          <w:b/>
          <w:sz w:val="28"/>
          <w:szCs w:val="28"/>
        </w:rPr>
        <w:t>Микола АНДРУСЯК</w:t>
      </w:r>
    </w:p>
    <w:p w:rsidR="00513A32" w:rsidRPr="00513A32" w:rsidRDefault="00513A32" w:rsidP="00513A32">
      <w:pPr>
        <w:pStyle w:val="a9"/>
        <w:ind w:left="6663"/>
        <w:rPr>
          <w:rFonts w:ascii="Times New Roman" w:hAnsi="Times New Roman" w:cs="Times New Roman"/>
          <w:sz w:val="28"/>
          <w:szCs w:val="28"/>
        </w:rPr>
      </w:pPr>
      <w:r w:rsidRPr="00513A32">
        <w:rPr>
          <w:rFonts w:ascii="Times New Roman" w:hAnsi="Times New Roman" w:cs="Times New Roman"/>
          <w:sz w:val="28"/>
          <w:szCs w:val="28"/>
        </w:rPr>
        <w:lastRenderedPageBreak/>
        <w:t>Додаток 2 до Програми</w:t>
      </w:r>
    </w:p>
    <w:p w:rsidR="00513A32" w:rsidRDefault="00513A32" w:rsidP="00513A32">
      <w:pPr>
        <w:pStyle w:val="a9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8D35D9" w:rsidRDefault="00BD0728" w:rsidP="00B95F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8D35D9">
        <w:rPr>
          <w:rFonts w:ascii="Times New Roman" w:hAnsi="Times New Roman" w:cs="Times New Roman"/>
          <w:b/>
          <w:sz w:val="28"/>
          <w:szCs w:val="28"/>
        </w:rPr>
        <w:t xml:space="preserve"> співфінансування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B95F9D" w:rsidRPr="00B95F9D">
        <w:rPr>
          <w:rFonts w:ascii="Times New Roman" w:hAnsi="Times New Roman" w:cs="Times New Roman"/>
          <w:b/>
          <w:sz w:val="28"/>
          <w:szCs w:val="28"/>
        </w:rPr>
        <w:t>капітальних ремонтів</w:t>
      </w:r>
    </w:p>
    <w:p w:rsidR="00B95F9D" w:rsidRDefault="00B95F9D" w:rsidP="00B95F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9D">
        <w:rPr>
          <w:rFonts w:ascii="Times New Roman" w:hAnsi="Times New Roman" w:cs="Times New Roman"/>
          <w:b/>
          <w:sz w:val="28"/>
          <w:szCs w:val="28"/>
        </w:rPr>
        <w:t xml:space="preserve"> в житлових будинках ОСББ </w:t>
      </w:r>
      <w:r w:rsidR="00AC450E">
        <w:rPr>
          <w:rFonts w:ascii="Times New Roman" w:hAnsi="Times New Roman" w:cs="Times New Roman"/>
          <w:b/>
          <w:sz w:val="28"/>
          <w:szCs w:val="28"/>
        </w:rPr>
        <w:t>м. Коломиї</w:t>
      </w:r>
    </w:p>
    <w:p w:rsidR="00B95F9D" w:rsidRDefault="00B95F9D" w:rsidP="00B95F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0E" w:rsidRDefault="00742320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1.1. Питання проведення капітального ремонту спільного майна багатоквартирного житлового будинку на умовах дольової участі вирішується загальними зборами співвласників ОСББ у порядку, передбаченому Законами України «Про особливості здійснення права власності у багатоквартирному будинку», «Про об’єднання співвласників багатоквартирного будинку».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Загальні збори співвласників ОСББ проводяться у порядку, визначеному Законом України «Про об’єднання співвласників багатоквартирного будинку».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На загальних зборах приймаються рішення про:</w:t>
      </w:r>
    </w:p>
    <w:p w:rsidR="00AC450E" w:rsidRDefault="00F16883" w:rsidP="00F16883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участь ОСББ у Програмі з обґрунтуванням робіт, які планується провести у будинку (характеристика робіт, строки їх проведення, об’єми, вартість виготовлення проектно-кошторисної документації (з урахуванням авторського та технічного наглядів) та експертизи проекту, кошторисну вартість робіт, очікуваний ефект);</w:t>
      </w:r>
    </w:p>
    <w:p w:rsidR="00AC450E" w:rsidRDefault="00F16883" w:rsidP="00F1688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визначення частки у відсотках від загальної вартості робіт та суми витрат співвласників у фінансуванні робіт по капітальному ремонту будинку;</w:t>
      </w:r>
    </w:p>
    <w:p w:rsidR="00AC450E" w:rsidRDefault="00F16883" w:rsidP="00AC450E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визначення уповноваженого представника співвласників, що представлятиме інтереси будинку.</w:t>
      </w:r>
    </w:p>
    <w:p w:rsidR="00AC450E" w:rsidRDefault="00AC450E" w:rsidP="00AC450E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Всі питання, що обговорюються на загальних зборах співвласників ОСББ, фіксуються в протоколі, який підписується усіма співвласниками (їх представниками), які взяли участь у зборах, із зазначенням відповідного варіанту голосування («за», «проти», «утримався»).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протоколі обов’язково зазначається наступна інформація про співвласників (їх представників), які взяли участь у зборах співвласників: прізвище, ім’я, по батькові, номер квартири або нежитлового приміщення, документ, що надає повноваження на голосування від імені співвласника (для представника), зазначається у примітці.  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Для участі у Програмі уповноважена особа ОСББ подає заяву на участь у Програмі та додає наступні документи:</w:t>
      </w:r>
    </w:p>
    <w:p w:rsidR="00AC450E" w:rsidRDefault="000E35CA" w:rsidP="000E35C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копію протоколу загальних зборів ОСББ з визначених у п.1.3 Додатку 2 до Програми;</w:t>
      </w:r>
    </w:p>
    <w:p w:rsidR="00AC450E" w:rsidRDefault="000E35CA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копію витягу з Єдиного державного реєстру юридичних осіб, фізичних осіб-підприємців та громадських формувань;</w:t>
      </w:r>
    </w:p>
    <w:p w:rsidR="00AC450E" w:rsidRDefault="000E35CA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копію Статуту;</w:t>
      </w:r>
    </w:p>
    <w:p w:rsidR="00AC450E" w:rsidRDefault="00AC450E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5CA">
        <w:rPr>
          <w:rFonts w:ascii="Times New Roman" w:hAnsi="Times New Roman" w:cs="Times New Roman"/>
          <w:sz w:val="28"/>
          <w:szCs w:val="28"/>
        </w:rPr>
        <w:t>)</w:t>
      </w:r>
      <w:r w:rsidR="000E3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документ, що підтверджує особу та повноваження уповноваженої особи (витяг з протоколу загальних зборів про обрання голови ОСББ);</w:t>
      </w:r>
    </w:p>
    <w:p w:rsidR="00AC450E" w:rsidRDefault="000E35CA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копію технічного паспорту будинку, завіреного головою ОСББ;</w:t>
      </w:r>
    </w:p>
    <w:p w:rsidR="00AC450E" w:rsidRDefault="00AC450E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E3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довідку з банку про стан рахунку з наявною сумою коштів. </w:t>
      </w:r>
    </w:p>
    <w:p w:rsidR="00AC450E" w:rsidRDefault="00AC450E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E35CA">
        <w:rPr>
          <w:rFonts w:ascii="Times New Roman" w:hAnsi="Times New Roman" w:cs="Times New Roman"/>
          <w:sz w:val="28"/>
          <w:szCs w:val="28"/>
        </w:rPr>
        <w:t>)</w:t>
      </w:r>
      <w:r w:rsidR="000E3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проектно-кошторисну документацію на виконання робіт з капітального ремонту будинку ОСББ та позитивний експертний звіт. Проектно-кошторисна документація (з урахуванням авторського та технічного наглядів) та експертний звіт виготовляються за власні кошти ОСББ. </w:t>
      </w:r>
      <w:r w:rsidRPr="00B4653D">
        <w:t xml:space="preserve"> </w:t>
      </w:r>
      <w:r w:rsidRPr="00B4653D">
        <w:rPr>
          <w:rFonts w:ascii="Times New Roman" w:hAnsi="Times New Roman" w:cs="Times New Roman"/>
          <w:sz w:val="28"/>
          <w:szCs w:val="28"/>
        </w:rPr>
        <w:t>Відповідальність за відповідність видів та обсягів зазначених у зведеному кошторисному розрахунку вартості робіт фактично необхідним видам та обсягам робіт у будинку, 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53D">
        <w:rPr>
          <w:rFonts w:ascii="Times New Roman" w:hAnsi="Times New Roman" w:cs="Times New Roman"/>
          <w:sz w:val="28"/>
          <w:szCs w:val="28"/>
        </w:rPr>
        <w:t xml:space="preserve"> в подальшому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53D">
        <w:rPr>
          <w:rFonts w:ascii="Times New Roman" w:hAnsi="Times New Roman" w:cs="Times New Roman"/>
          <w:sz w:val="28"/>
          <w:szCs w:val="28"/>
        </w:rPr>
        <w:t xml:space="preserve"> за якість прийнятих робіт несе ОСББ.</w:t>
      </w:r>
    </w:p>
    <w:p w:rsidR="00AC450E" w:rsidRDefault="00AC450E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35CA">
        <w:rPr>
          <w:rFonts w:ascii="Times New Roman" w:hAnsi="Times New Roman" w:cs="Times New Roman"/>
          <w:sz w:val="28"/>
          <w:szCs w:val="28"/>
        </w:rPr>
        <w:t>)</w:t>
      </w:r>
      <w:r w:rsidR="000E3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фото об’єкта (елементів, що потребують капітального ремонту);</w:t>
      </w:r>
    </w:p>
    <w:p w:rsidR="00AC450E" w:rsidRDefault="00AC450E" w:rsidP="000E35C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sz w:val="28"/>
          <w:szCs w:val="28"/>
        </w:rPr>
        <w:t>9</w:t>
      </w:r>
      <w:r w:rsidR="000E35CA">
        <w:rPr>
          <w:rFonts w:ascii="Times New Roman" w:hAnsi="Times New Roman" w:cs="Times New Roman"/>
          <w:sz w:val="28"/>
          <w:szCs w:val="28"/>
        </w:rPr>
        <w:t>)</w:t>
      </w:r>
      <w:r w:rsidR="000E35CA">
        <w:rPr>
          <w:rFonts w:ascii="Times New Roman" w:hAnsi="Times New Roman" w:cs="Times New Roman"/>
          <w:sz w:val="28"/>
          <w:szCs w:val="28"/>
        </w:rPr>
        <w:tab/>
      </w:r>
      <w:r w:rsidRPr="00AD6484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484">
        <w:rPr>
          <w:rFonts w:ascii="Times New Roman" w:hAnsi="Times New Roman" w:cs="Times New Roman"/>
          <w:sz w:val="28"/>
          <w:szCs w:val="28"/>
        </w:rPr>
        <w:t xml:space="preserve"> висновку експертизи з питань охорони праці та промислової безпеки у разі проведення робіт з капітального ремонту ліфтів та систем диспетчеризації об’єкта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50E" w:rsidRDefault="000E35CA" w:rsidP="000E35CA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копію паспорта ліфта.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Заява разом з документами подається до відділу інвестиційної політики та енергозбереження міської ради та включається до реєстру в порядку черговості.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Подача документів триває з 01 серпня до 30 жовтня, проведення робіт з капітального ремонту здійснюватиметься у році, наступному за роком подання заяви, за умови наявності у бюджеті територіальної громади коштів, передбачених на виконання Програми на відповідний рік.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Pr="005474D7">
        <w:rPr>
          <w:rFonts w:ascii="Times New Roman" w:hAnsi="Times New Roman" w:cs="Times New Roman"/>
          <w:sz w:val="28"/>
          <w:szCs w:val="28"/>
        </w:rPr>
        <w:t xml:space="preserve">Після завершення терміну подачі заяв на участь у </w:t>
      </w:r>
      <w:r>
        <w:rPr>
          <w:rFonts w:ascii="Times New Roman" w:hAnsi="Times New Roman" w:cs="Times New Roman"/>
          <w:sz w:val="28"/>
          <w:szCs w:val="28"/>
        </w:rPr>
        <w:t>Програмі, усі документи (завірені належним чином копії документів) передаються Робочій групі</w:t>
      </w:r>
      <w:r w:rsidRPr="005A3D8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питань виконання </w:t>
      </w:r>
      <w:r w:rsidR="00F36156">
        <w:rPr>
          <w:rFonts w:ascii="Times New Roman" w:hAnsi="Times New Roman" w:cs="Times New Roman"/>
          <w:sz w:val="28"/>
          <w:szCs w:val="28"/>
        </w:rPr>
        <w:t>П</w:t>
      </w:r>
      <w:r w:rsidRPr="005A3D83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F36156">
        <w:rPr>
          <w:rFonts w:ascii="Times New Roman" w:hAnsi="Times New Roman" w:cs="Times New Roman"/>
          <w:sz w:val="28"/>
          <w:szCs w:val="28"/>
        </w:rPr>
        <w:t>с</w:t>
      </w:r>
      <w:r w:rsidRPr="005A3D83">
        <w:rPr>
          <w:rFonts w:ascii="Times New Roman" w:hAnsi="Times New Roman" w:cs="Times New Roman"/>
          <w:sz w:val="28"/>
          <w:szCs w:val="28"/>
        </w:rPr>
        <w:t xml:space="preserve">півфінансування проведення капітальних ремонтів ОСББ </w:t>
      </w:r>
      <w:r w:rsidR="00F36156">
        <w:rPr>
          <w:rFonts w:ascii="Times New Roman" w:hAnsi="Times New Roman" w:cs="Times New Roman"/>
          <w:sz w:val="28"/>
          <w:szCs w:val="28"/>
        </w:rPr>
        <w:t>м. Коломиї на 2021-2022 роки</w:t>
      </w:r>
      <w:r>
        <w:rPr>
          <w:rFonts w:ascii="Times New Roman" w:hAnsi="Times New Roman" w:cs="Times New Roman"/>
          <w:sz w:val="28"/>
          <w:szCs w:val="28"/>
        </w:rPr>
        <w:t xml:space="preserve"> (далі – Робоча група). </w:t>
      </w:r>
      <w:r w:rsidR="00F16883">
        <w:rPr>
          <w:rFonts w:ascii="Times New Roman" w:hAnsi="Times New Roman" w:cs="Times New Roman"/>
          <w:sz w:val="28"/>
          <w:szCs w:val="28"/>
        </w:rPr>
        <w:t xml:space="preserve">До складу Робочої групи входять депутати (за згодою), працівники структурних підрозділів міської ради, голова Громадської організації «Асоціація об’єднань співвласників багатоквартирних будинків міста Коломия» (за згодою). </w:t>
      </w:r>
      <w:r w:rsidRPr="00F16883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Робочої групи затверджується розпорядженням міського голови. </w:t>
      </w:r>
    </w:p>
    <w:p w:rsidR="00AC450E" w:rsidRDefault="00AC450E" w:rsidP="00AC450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Робочої групи:</w:t>
      </w:r>
    </w:p>
    <w:p w:rsidR="00AC450E" w:rsidRDefault="00F36156" w:rsidP="00F3615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перевірка поданих документів на відповідність умовам Програми. У разі, якщо документи не відповідають умовам даної Програми, заява відхиляється, про що заявника повідомляється у письмовій формі протягом 5 робочих днів з дня прийняття рішення про відхилення заяви.</w:t>
      </w:r>
    </w:p>
    <w:p w:rsidR="00AC450E" w:rsidRDefault="00F36156" w:rsidP="00F36156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</w:t>
      </w:r>
      <w:r w:rsidR="00AC450E">
        <w:rPr>
          <w:rFonts w:ascii="Times New Roman" w:hAnsi="Times New Roman" w:cs="Times New Roman"/>
          <w:sz w:val="28"/>
          <w:szCs w:val="28"/>
        </w:rPr>
        <w:t>дення розрахунків обсягу співфінансування з бюджету територіальної громади окремо по кожному ОСББ;</w:t>
      </w:r>
    </w:p>
    <w:p w:rsidR="00AC450E" w:rsidRDefault="00F36156" w:rsidP="00F36156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складання календарного плану капітальних ремонтів на бюджетний рік, з врахуванням черговості подачі документів від ОСББ згідно реєстрації заяв на участь у Програмі.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Результати засідання Робочої групи оформляються</w:t>
      </w:r>
      <w:r w:rsidRPr="005474D7">
        <w:rPr>
          <w:rFonts w:ascii="Times New Roman" w:hAnsi="Times New Roman" w:cs="Times New Roman"/>
          <w:sz w:val="28"/>
          <w:szCs w:val="28"/>
        </w:rPr>
        <w:t xml:space="preserve"> протоколом, який підписується всіма її членами. Рішення </w:t>
      </w:r>
      <w:r>
        <w:rPr>
          <w:rFonts w:ascii="Times New Roman" w:hAnsi="Times New Roman" w:cs="Times New Roman"/>
          <w:sz w:val="28"/>
          <w:szCs w:val="28"/>
        </w:rPr>
        <w:t>Робочої групи</w:t>
      </w:r>
      <w:r w:rsidRPr="005474D7">
        <w:rPr>
          <w:rFonts w:ascii="Times New Roman" w:hAnsi="Times New Roman" w:cs="Times New Roman"/>
          <w:sz w:val="28"/>
          <w:szCs w:val="28"/>
        </w:rPr>
        <w:t xml:space="preserve"> є чинним за умови, що на засіданні присутн</w:t>
      </w:r>
      <w:r>
        <w:rPr>
          <w:rFonts w:ascii="Times New Roman" w:hAnsi="Times New Roman" w:cs="Times New Roman"/>
          <w:sz w:val="28"/>
          <w:szCs w:val="28"/>
        </w:rPr>
        <w:t>я більшість</w:t>
      </w:r>
      <w:r w:rsidRPr="0054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5474D7">
        <w:rPr>
          <w:rFonts w:ascii="Times New Roman" w:hAnsi="Times New Roman" w:cs="Times New Roman"/>
          <w:sz w:val="28"/>
          <w:szCs w:val="28"/>
        </w:rPr>
        <w:t xml:space="preserve">її загального складу. Рішення приймається більшістю голосів членів </w:t>
      </w:r>
      <w:r>
        <w:rPr>
          <w:rFonts w:ascii="Times New Roman" w:hAnsi="Times New Roman" w:cs="Times New Roman"/>
          <w:sz w:val="28"/>
          <w:szCs w:val="28"/>
        </w:rPr>
        <w:t>Робочої групи</w:t>
      </w:r>
      <w:r w:rsidRPr="005474D7">
        <w:rPr>
          <w:rFonts w:ascii="Times New Roman" w:hAnsi="Times New Roman" w:cs="Times New Roman"/>
          <w:sz w:val="28"/>
          <w:szCs w:val="28"/>
        </w:rPr>
        <w:t xml:space="preserve">, присутніх на засіданні. У разі рівної кількості голосів, поданих «за» та «проти», вирішальним є голос голови </w:t>
      </w:r>
      <w:r>
        <w:rPr>
          <w:rFonts w:ascii="Times New Roman" w:hAnsi="Times New Roman" w:cs="Times New Roman"/>
          <w:sz w:val="28"/>
          <w:szCs w:val="28"/>
        </w:rPr>
        <w:t xml:space="preserve">Робочої групи. </w:t>
      </w:r>
      <w:r w:rsidRPr="005474D7">
        <w:rPr>
          <w:rFonts w:ascii="Times New Roman" w:hAnsi="Times New Roman" w:cs="Times New Roman"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</w:rPr>
        <w:t xml:space="preserve">Робочої групи проводяться щороку, </w:t>
      </w:r>
      <w:r w:rsidRPr="005474D7">
        <w:rPr>
          <w:rFonts w:ascii="Times New Roman" w:hAnsi="Times New Roman" w:cs="Times New Roman"/>
          <w:sz w:val="28"/>
          <w:szCs w:val="28"/>
        </w:rPr>
        <w:t xml:space="preserve">починаючи з 01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547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50E" w:rsidRPr="005474D7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1.10. </w:t>
      </w:r>
      <w:r w:rsidRPr="00E60B1C">
        <w:rPr>
          <w:rFonts w:ascii="Times New Roman" w:hAnsi="Times New Roman" w:cs="Times New Roman"/>
          <w:sz w:val="28"/>
          <w:szCs w:val="28"/>
        </w:rPr>
        <w:t>Після прийняття позитивного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B1C">
        <w:rPr>
          <w:rFonts w:ascii="Times New Roman" w:hAnsi="Times New Roman" w:cs="Times New Roman"/>
          <w:sz w:val="28"/>
          <w:szCs w:val="28"/>
        </w:rPr>
        <w:t xml:space="preserve"> ОСББ </w:t>
      </w:r>
      <w:r>
        <w:rPr>
          <w:rFonts w:ascii="Times New Roman" w:hAnsi="Times New Roman" w:cs="Times New Roman"/>
          <w:sz w:val="28"/>
          <w:szCs w:val="28"/>
        </w:rPr>
        <w:t xml:space="preserve">включається </w:t>
      </w:r>
      <w:r w:rsidRPr="00E60B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B1C">
        <w:rPr>
          <w:rFonts w:ascii="Times New Roman" w:hAnsi="Times New Roman" w:cs="Times New Roman"/>
          <w:sz w:val="28"/>
          <w:szCs w:val="28"/>
        </w:rPr>
        <w:t>ереліку об’єктів, які фінансуватимуться в рамках Програми</w:t>
      </w:r>
      <w:r>
        <w:rPr>
          <w:rFonts w:ascii="Times New Roman" w:hAnsi="Times New Roman" w:cs="Times New Roman"/>
          <w:sz w:val="28"/>
          <w:szCs w:val="28"/>
        </w:rPr>
        <w:t xml:space="preserve">, в порядку </w:t>
      </w:r>
      <w:r w:rsidRPr="00C70A34">
        <w:rPr>
          <w:rFonts w:ascii="Times New Roman" w:hAnsi="Times New Roman" w:cs="Times New Roman"/>
          <w:sz w:val="28"/>
          <w:szCs w:val="28"/>
        </w:rPr>
        <w:t>черговості подачі документів від ОСББ згідно реєстрації заяв на участь у Програмі</w:t>
      </w:r>
      <w:r>
        <w:rPr>
          <w:rFonts w:ascii="Times New Roman" w:hAnsi="Times New Roman" w:cs="Times New Roman"/>
          <w:sz w:val="28"/>
          <w:szCs w:val="28"/>
        </w:rPr>
        <w:t>. Перелік розміщується на офіційному сайті міської ради.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Коломийська міська рада виділяє кошти з бюджету територіальної </w:t>
      </w:r>
      <w:r w:rsidR="00F36156">
        <w:rPr>
          <w:rFonts w:ascii="Times New Roman" w:hAnsi="Times New Roman" w:cs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робіт з капітального ремонту багатоквартирних житлових будинків ОСББ </w:t>
      </w:r>
      <w:r w:rsidR="00F36156">
        <w:rPr>
          <w:rFonts w:ascii="Times New Roman" w:hAnsi="Times New Roman" w:cs="Times New Roman"/>
          <w:sz w:val="28"/>
          <w:szCs w:val="28"/>
        </w:rPr>
        <w:t>м. Коломиї</w:t>
      </w:r>
      <w:r>
        <w:rPr>
          <w:rFonts w:ascii="Times New Roman" w:hAnsi="Times New Roman" w:cs="Times New Roman"/>
          <w:sz w:val="28"/>
          <w:szCs w:val="28"/>
        </w:rPr>
        <w:t xml:space="preserve"> на умовах співфінансування співвласниками багатоквартирного житлового будинку в розмірі, що передбачений Програмою на відповідний рік.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Відбір підрядника по проведенню робіт з капітального ремонту </w:t>
      </w:r>
      <w:r w:rsidRPr="00FC62AB">
        <w:rPr>
          <w:rFonts w:ascii="Times New Roman" w:hAnsi="Times New Roman" w:cs="Times New Roman"/>
          <w:sz w:val="28"/>
          <w:szCs w:val="28"/>
        </w:rPr>
        <w:t xml:space="preserve">багатоквартирних житлових будинків ОСББ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відповідно до </w:t>
      </w:r>
      <w:r w:rsidRPr="00FC62AB">
        <w:rPr>
          <w:rFonts w:ascii="Times New Roman" w:hAnsi="Times New Roman" w:cs="Times New Roman"/>
          <w:sz w:val="28"/>
          <w:szCs w:val="28"/>
        </w:rPr>
        <w:t>Закону України «Про публічні закупівлі»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Після визначення </w:t>
      </w:r>
      <w:r w:rsidRPr="0099282A">
        <w:rPr>
          <w:rFonts w:ascii="Times New Roman" w:hAnsi="Times New Roman" w:cs="Times New Roman"/>
          <w:sz w:val="28"/>
          <w:szCs w:val="28"/>
        </w:rPr>
        <w:t>підрядника</w:t>
      </w:r>
      <w:r>
        <w:rPr>
          <w:rFonts w:ascii="Times New Roman" w:hAnsi="Times New Roman" w:cs="Times New Roman"/>
          <w:sz w:val="28"/>
          <w:szCs w:val="28"/>
        </w:rPr>
        <w:t xml:space="preserve"> між Коломийською міською радою, ОСББ та підрядником укладається тристоронній договір на виконання робіт по капітальному ремонту будинку (на підставі проектної документації на виконання робіт, виготовленої ОСББ згідно з діючими будівельними нормами, правилами, стандартами, відповідно до вимог чинного законодавства у сфері містобудівної діяльності).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 Від Коломийської міської ради договір підписує заступник міського голови, до функціональних повноважень якого віднесено питання підписання договорів по Програмі.</w:t>
      </w:r>
    </w:p>
    <w:p w:rsidR="00AC450E" w:rsidRDefault="00AC450E" w:rsidP="00AC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Pr="00E64CE0">
        <w:rPr>
          <w:rFonts w:ascii="Times New Roman" w:hAnsi="Times New Roman" w:cs="Times New Roman"/>
          <w:sz w:val="28"/>
          <w:szCs w:val="28"/>
        </w:rPr>
        <w:t>З метою контролю за відповідністю робіт та матеріальних ресурсів установленим вимогам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CE0">
        <w:rPr>
          <w:rFonts w:ascii="Times New Roman" w:hAnsi="Times New Roman" w:cs="Times New Roman"/>
          <w:sz w:val="28"/>
          <w:szCs w:val="28"/>
        </w:rPr>
        <w:t xml:space="preserve"> здійснюється технічний нагляд за виконанням робіт шляхом укладення договору</w:t>
      </w:r>
      <w:r w:rsidRPr="00CB60B4">
        <w:rPr>
          <w:rFonts w:ascii="Times New Roman" w:hAnsi="Times New Roman" w:cs="Times New Roman"/>
          <w:sz w:val="28"/>
          <w:szCs w:val="28"/>
        </w:rPr>
        <w:t xml:space="preserve"> ОСББ</w:t>
      </w:r>
      <w:r w:rsidRPr="00E64CE0">
        <w:rPr>
          <w:rFonts w:ascii="Times New Roman" w:hAnsi="Times New Roman" w:cs="Times New Roman"/>
          <w:sz w:val="28"/>
          <w:szCs w:val="28"/>
        </w:rPr>
        <w:t xml:space="preserve"> про надання послуг з технічного нагляду із суб’єктом господарювання, який має відповідний сертифікат.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120">
        <w:rPr>
          <w:rFonts w:ascii="Times New Roman" w:hAnsi="Times New Roman" w:cs="Times New Roman"/>
          <w:sz w:val="28"/>
          <w:szCs w:val="28"/>
        </w:rPr>
        <w:t xml:space="preserve">Фінансування послуг з технічного нагляду здійснюється за рахунок </w:t>
      </w:r>
      <w:r>
        <w:rPr>
          <w:rFonts w:ascii="Times New Roman" w:hAnsi="Times New Roman" w:cs="Times New Roman"/>
          <w:sz w:val="28"/>
          <w:szCs w:val="28"/>
        </w:rPr>
        <w:t>коштів ОСББ.</w:t>
      </w:r>
    </w:p>
    <w:p w:rsidR="00AC450E" w:rsidRDefault="00AC450E" w:rsidP="00AC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1.16. </w:t>
      </w:r>
      <w:r w:rsidRPr="00D91774">
        <w:rPr>
          <w:rFonts w:ascii="Times New Roman" w:hAnsi="Times New Roman" w:cs="Times New Roman"/>
          <w:sz w:val="28"/>
          <w:szCs w:val="28"/>
        </w:rPr>
        <w:t>За результатами виконаних робіт складається акт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50E" w:rsidRPr="00B7653C" w:rsidRDefault="00AC450E" w:rsidP="00AC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1.17. </w:t>
      </w:r>
      <w:r w:rsidRPr="00B7653C">
        <w:rPr>
          <w:rFonts w:ascii="Times New Roman" w:hAnsi="Times New Roman" w:cs="Times New Roman"/>
          <w:sz w:val="28"/>
          <w:szCs w:val="28"/>
        </w:rPr>
        <w:t xml:space="preserve">Акт виконаних робіт підписують: </w:t>
      </w:r>
    </w:p>
    <w:p w:rsidR="00AC450E" w:rsidRPr="00B7653C" w:rsidRDefault="00AC450E" w:rsidP="00F16883">
      <w:pPr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53C">
        <w:rPr>
          <w:rFonts w:ascii="Times New Roman" w:hAnsi="Times New Roman" w:cs="Times New Roman"/>
          <w:sz w:val="28"/>
          <w:szCs w:val="28"/>
        </w:rPr>
        <w:t>-</w:t>
      </w:r>
      <w:r w:rsidR="00F36156">
        <w:rPr>
          <w:rFonts w:ascii="Times New Roman" w:hAnsi="Times New Roman" w:cs="Times New Roman"/>
          <w:sz w:val="28"/>
          <w:szCs w:val="28"/>
        </w:rPr>
        <w:tab/>
      </w:r>
      <w:r w:rsidRPr="00B7653C">
        <w:rPr>
          <w:rFonts w:ascii="Times New Roman" w:hAnsi="Times New Roman" w:cs="Times New Roman"/>
          <w:sz w:val="28"/>
          <w:szCs w:val="28"/>
        </w:rPr>
        <w:t xml:space="preserve">підрядник; </w:t>
      </w:r>
    </w:p>
    <w:p w:rsidR="00AC450E" w:rsidRPr="00B7653C" w:rsidRDefault="00F16883" w:rsidP="00F1688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 w:rsidRPr="00B7653C">
        <w:rPr>
          <w:rFonts w:ascii="Times New Roman" w:hAnsi="Times New Roman" w:cs="Times New Roman"/>
          <w:sz w:val="28"/>
          <w:szCs w:val="28"/>
        </w:rPr>
        <w:t xml:space="preserve">суб’єкт господарювання, що здійснює технічний нагляд; </w:t>
      </w:r>
    </w:p>
    <w:p w:rsidR="00AC450E" w:rsidRPr="00B7653C" w:rsidRDefault="00F16883" w:rsidP="00F1688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 w:rsidRPr="00B7653C">
        <w:rPr>
          <w:rFonts w:ascii="Times New Roman" w:hAnsi="Times New Roman" w:cs="Times New Roman"/>
          <w:sz w:val="28"/>
          <w:szCs w:val="28"/>
        </w:rPr>
        <w:t>уповноважений представник Співвласників;</w:t>
      </w:r>
    </w:p>
    <w:p w:rsidR="00AC450E" w:rsidRPr="00E64CE0" w:rsidRDefault="00F16883" w:rsidP="00F1688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 w:rsidRPr="00B7653C">
        <w:rPr>
          <w:rFonts w:ascii="Times New Roman" w:hAnsi="Times New Roman" w:cs="Times New Roman"/>
          <w:sz w:val="28"/>
          <w:szCs w:val="28"/>
        </w:rPr>
        <w:t>головний розпорядник коштів – Коломийська міська рада.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1.18. Фінансування робіт </w:t>
      </w:r>
      <w:r w:rsidRPr="00BE2EB3">
        <w:rPr>
          <w:rFonts w:ascii="Times New Roman" w:hAnsi="Times New Roman" w:cs="Times New Roman"/>
          <w:sz w:val="28"/>
          <w:szCs w:val="28"/>
        </w:rPr>
        <w:t>з капітального ремонту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</w:rPr>
        <w:t xml:space="preserve"> із залученням коштів бюджету</w:t>
      </w:r>
      <w:r w:rsidRPr="00CB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 громади здійснюється у межах коштів, передбачених у бюджеті</w:t>
      </w:r>
      <w:r w:rsidRPr="00CB60B4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на відповідний рік і за умови наявності суми коштів ОСББ у розмірі відповідно до їх частки від загальної вартості витрат на фінансування капітального ремонту об’єкта. 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1.19. Співфінансування з бюджету </w:t>
      </w:r>
      <w:r w:rsidRPr="00CB60B4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відповідно до Програми може здійснюватись для впровадження наступних заходів по капітальному ремонту:</w:t>
      </w:r>
    </w:p>
    <w:p w:rsidR="00AC450E" w:rsidRDefault="00F16883" w:rsidP="00F16883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фундаментів та підвальних приміщень;</w:t>
      </w:r>
    </w:p>
    <w:p w:rsidR="00AC450E" w:rsidRDefault="00F16883" w:rsidP="00F16883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стін, фасадів будівель (окрім утеплення);</w:t>
      </w:r>
    </w:p>
    <w:p w:rsidR="00AC450E" w:rsidRDefault="00F16883" w:rsidP="00F16883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сходових кліток;</w:t>
      </w:r>
    </w:p>
    <w:p w:rsidR="00AC450E" w:rsidRDefault="00F16883" w:rsidP="00F1688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 xml:space="preserve">зовнішніх та </w:t>
      </w:r>
      <w:proofErr w:type="spellStart"/>
      <w:r w:rsidR="00AC450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AC450E">
        <w:rPr>
          <w:rFonts w:ascii="Times New Roman" w:hAnsi="Times New Roman" w:cs="Times New Roman"/>
          <w:sz w:val="28"/>
          <w:szCs w:val="28"/>
        </w:rPr>
        <w:t xml:space="preserve"> інженерних мереж (водопровідно-каналізаційна система, </w:t>
      </w:r>
      <w:proofErr w:type="spellStart"/>
      <w:r w:rsidR="00AC450E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="00AC450E">
        <w:rPr>
          <w:rFonts w:ascii="Times New Roman" w:hAnsi="Times New Roman" w:cs="Times New Roman"/>
          <w:sz w:val="28"/>
          <w:szCs w:val="28"/>
        </w:rPr>
        <w:t xml:space="preserve"> електропостачання);</w:t>
      </w:r>
    </w:p>
    <w:p w:rsidR="00AC450E" w:rsidRDefault="00F16883" w:rsidP="00F16883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450E">
        <w:rPr>
          <w:rFonts w:ascii="Times New Roman" w:hAnsi="Times New Roman" w:cs="Times New Roman"/>
          <w:sz w:val="28"/>
          <w:szCs w:val="28"/>
        </w:rPr>
        <w:t>ліфтів</w:t>
      </w:r>
      <w:r w:rsidR="00AC450E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AC450E">
        <w:rPr>
          <w:rFonts w:ascii="Times New Roman" w:hAnsi="Times New Roman" w:cs="Times New Roman"/>
          <w:sz w:val="28"/>
          <w:szCs w:val="28"/>
        </w:rPr>
        <w:t>та систем диспетчеризації.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1.20. По даній Програмі не можуть бути профінансовані заходи, які впроваджуються </w:t>
      </w:r>
      <w:r w:rsidRPr="004537B8">
        <w:rPr>
          <w:rFonts w:ascii="Times New Roman" w:hAnsi="Times New Roman" w:cs="Times New Roman"/>
          <w:sz w:val="28"/>
          <w:szCs w:val="28"/>
        </w:rPr>
        <w:t xml:space="preserve">в рамках реалізації державної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37B8">
        <w:rPr>
          <w:rFonts w:ascii="Times New Roman" w:hAnsi="Times New Roman" w:cs="Times New Roman"/>
          <w:sz w:val="28"/>
          <w:szCs w:val="28"/>
        </w:rPr>
        <w:t>рограми енергомодернізації багатоквартирних будинків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Енергодім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1.21.</w:t>
      </w:r>
      <w:r w:rsidR="00F1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Співфінансування капітального ремонту об’єкта із залученням бюджетних коштів здійснюється за одним напрямом робіт </w:t>
      </w:r>
      <w:r w:rsidRPr="00082F19">
        <w:rPr>
          <w:rFonts w:ascii="Times New Roman" w:hAnsi="Times New Roman" w:cs="Times New Roman"/>
          <w:sz w:val="28"/>
          <w:szCs w:val="28"/>
        </w:rPr>
        <w:t>один раз на рік.</w:t>
      </w:r>
      <w:r>
        <w:rPr>
          <w:rFonts w:ascii="Times New Roman" w:hAnsi="Times New Roman" w:cs="Times New Roman"/>
          <w:sz w:val="28"/>
          <w:szCs w:val="28"/>
        </w:rPr>
        <w:t xml:space="preserve"> Повторне фінансування за рахунок бюджетних коштів аналогічного напряму робіт незалежно від обсягу та складу виконаних робіт не допускається. 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1.22. До складу робіт, що здійснюються по капітальному ремонту об’єкта із залученням бюджетних коштів, не включаються роботи, пов’язані з ремонтом квартир/нежитлових приміщень, виконання яких входить до обов’язків власників і наймачів квартир/нежитлових приміщень.</w:t>
      </w:r>
    </w:p>
    <w:p w:rsidR="00AC450E" w:rsidRDefault="00AC450E" w:rsidP="00AC450E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1.23. Фінансування робіт по капітальному ремонту багатоквартирного житлового будинку ОСББ з бюджету </w:t>
      </w:r>
      <w:r w:rsidRPr="00CB60B4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здійснюватиметься, виходячи із розрахунку </w:t>
      </w:r>
      <w:r w:rsidRPr="00082F19">
        <w:rPr>
          <w:rFonts w:ascii="Times New Roman" w:hAnsi="Times New Roman" w:cs="Times New Roman"/>
          <w:sz w:val="28"/>
          <w:szCs w:val="28"/>
        </w:rPr>
        <w:t xml:space="preserve">50,00 грн. за 1 </w:t>
      </w:r>
      <w:proofErr w:type="spellStart"/>
      <w:r w:rsidRPr="00082F1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загальної площі будинку. 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забезпечення рівних умов участі для жителів багатоквартирних будинків вартість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коригуватись із врахуванням коефіцієнту залежно від загальної площі будинку, а саме:</w:t>
      </w:r>
    </w:p>
    <w:p w:rsidR="00AC450E" w:rsidRDefault="00AC450E" w:rsidP="00AC450E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будинку від 5001 до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коефіцієнт 1,2;</w:t>
      </w:r>
    </w:p>
    <w:p w:rsidR="00AC450E" w:rsidRDefault="00AC450E" w:rsidP="00AC450E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будинку від 2001 до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коефіцієнт 1,4;</w:t>
      </w:r>
    </w:p>
    <w:p w:rsidR="00AC450E" w:rsidRDefault="00AC450E" w:rsidP="00AC450E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будинку від 501 до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коефіцієнт 1,7;</w:t>
      </w:r>
    </w:p>
    <w:p w:rsidR="00AC450E" w:rsidRDefault="00AC450E" w:rsidP="00AC450E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будинку до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коефіцієнт 2.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1.24. Фінансування робіт по капітальному ремонту багатоквартирного житлового будинку ОСББ здійснюється у два етапи: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перший етап – частка участі ОСББ (власні кошти ОСББ, інші кошти);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другий етап – частка участі Коломийської міської ради.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1.25. Таблиця частки витрат бюджетних коштів та коштів ОСББ у відсотках від загальної вартості робіт на співфінансування капітального ремонту об’єкта: 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450E" w:rsidTr="00D33E09">
        <w:tc>
          <w:tcPr>
            <w:tcW w:w="3284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0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робіт</w:t>
            </w:r>
          </w:p>
        </w:tc>
        <w:tc>
          <w:tcPr>
            <w:tcW w:w="3285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0A">
              <w:rPr>
                <w:rFonts w:ascii="Times New Roman" w:hAnsi="Times New Roman" w:cs="Times New Roman"/>
                <w:b/>
                <w:sz w:val="28"/>
                <w:szCs w:val="28"/>
              </w:rPr>
              <w:t>Частка витрат бюджетних коштів (у відсотках)</w:t>
            </w:r>
          </w:p>
        </w:tc>
        <w:tc>
          <w:tcPr>
            <w:tcW w:w="3285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0A">
              <w:rPr>
                <w:rFonts w:ascii="Times New Roman" w:hAnsi="Times New Roman" w:cs="Times New Roman"/>
                <w:b/>
                <w:sz w:val="28"/>
                <w:szCs w:val="28"/>
              </w:rPr>
              <w:t>Частка витрат коштів ОСББ (у відсотках)</w:t>
            </w:r>
          </w:p>
        </w:tc>
      </w:tr>
      <w:tr w:rsidR="00AC450E" w:rsidTr="00D33E09">
        <w:tc>
          <w:tcPr>
            <w:tcW w:w="3284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фундаментів та підвальних приміщень 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C450E" w:rsidTr="00D33E09">
        <w:tc>
          <w:tcPr>
            <w:tcW w:w="3284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стін та фасадів будівель (окрім утеплення)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C450E" w:rsidTr="00D33E09">
        <w:tc>
          <w:tcPr>
            <w:tcW w:w="3284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сходових кліток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C450E" w:rsidTr="00D33E09">
        <w:tc>
          <w:tcPr>
            <w:tcW w:w="3284" w:type="dxa"/>
          </w:tcPr>
          <w:p w:rsidR="00AC450E" w:rsidRPr="00B26D0A" w:rsidRDefault="00AC450E" w:rsidP="00D3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внутрішньобудинкової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водопровідно-каналізаційної системи,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електропостачання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C450E" w:rsidTr="00D33E09">
        <w:tc>
          <w:tcPr>
            <w:tcW w:w="3284" w:type="dxa"/>
          </w:tcPr>
          <w:p w:rsidR="00AC450E" w:rsidRDefault="00AC450E" w:rsidP="00D3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ліфту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285" w:type="dxa"/>
            <w:vAlign w:val="center"/>
          </w:tcPr>
          <w:p w:rsidR="00AC450E" w:rsidRPr="00082F19" w:rsidRDefault="00AC450E" w:rsidP="00D33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1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1.26. Виконання робіт по капітальному ремонту об’єкта розпочинаються підрядною організацією/підрядником після отримання на розрахунковий рахунок попередньої оплати від ОСББ у розмірі відповідно до частки, визначеної для певного виду робіт по капітальному ремонту.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1.27. Фінансування Коломийською міською радою здійснюється у розмірі </w:t>
      </w:r>
      <w:r w:rsidRPr="008305E8">
        <w:rPr>
          <w:rFonts w:ascii="Times New Roman" w:hAnsi="Times New Roman" w:cs="Times New Roman"/>
          <w:sz w:val="28"/>
          <w:szCs w:val="28"/>
        </w:rPr>
        <w:t xml:space="preserve">відповідно до частки, визначеної для </w:t>
      </w:r>
      <w:r>
        <w:rPr>
          <w:rFonts w:ascii="Times New Roman" w:hAnsi="Times New Roman" w:cs="Times New Roman"/>
          <w:sz w:val="28"/>
          <w:szCs w:val="28"/>
        </w:rPr>
        <w:t>певного</w:t>
      </w:r>
      <w:r w:rsidRPr="008305E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 робіт по капітальному ремонту, за фактично виконані роботи на підставі акту виконаних робіт.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1.28. Коломийська міська рада перераховує кошти</w:t>
      </w:r>
      <w:r w:rsidRPr="0050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рахунок підрядної організації/підрядника </w:t>
      </w:r>
      <w:r w:rsidRPr="00505926">
        <w:rPr>
          <w:rFonts w:ascii="Times New Roman" w:hAnsi="Times New Roman" w:cs="Times New Roman"/>
          <w:sz w:val="28"/>
          <w:szCs w:val="28"/>
        </w:rPr>
        <w:t>в безготівковому порядку</w:t>
      </w:r>
      <w:r>
        <w:rPr>
          <w:rFonts w:ascii="Times New Roman" w:hAnsi="Times New Roman" w:cs="Times New Roman"/>
          <w:sz w:val="28"/>
          <w:szCs w:val="28"/>
        </w:rPr>
        <w:t xml:space="preserve">, в національній валюті України, </w:t>
      </w:r>
      <w:r w:rsidRPr="00505926">
        <w:rPr>
          <w:rFonts w:ascii="Times New Roman" w:hAnsi="Times New Roman" w:cs="Times New Roman"/>
          <w:sz w:val="28"/>
          <w:szCs w:val="28"/>
        </w:rPr>
        <w:t>на підставі акту виконаних робіт.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1.29. Координацію і контроль за реалізацією Програми здійснює відділ інвестиційної політики та енергозбереження міської ради.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1.30. За результатами виконання Програми, відділ інвестиційної політики та енергозбереження міської ради готує звіт про виконання Програми, в якому вказуються суми витрачених коштів, опис проведених робіт по кожному об’єкту, кількість ОСББ, які взяли участь у Програмі та кількість відремонтованих будинків.</w:t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450E" w:rsidRDefault="00AC450E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AC45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3A32" w:rsidRDefault="00513A32" w:rsidP="005059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4009" w:rsidRDefault="003B4009" w:rsidP="003B4009">
      <w:pPr>
        <w:autoSpaceDE w:val="0"/>
        <w:autoSpaceDN w:val="0"/>
        <w:adjustRightInd w:val="0"/>
        <w:ind w:left="75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BD0728" w:rsidRDefault="003B4009" w:rsidP="003B4009">
      <w:pPr>
        <w:autoSpaceDE w:val="0"/>
        <w:autoSpaceDN w:val="0"/>
        <w:adjustRightInd w:val="0"/>
        <w:ind w:left="75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Порядку 1</w:t>
      </w:r>
    </w:p>
    <w:p w:rsidR="003B4009" w:rsidRDefault="003B4009" w:rsidP="003B4009">
      <w:pPr>
        <w:autoSpaceDE w:val="0"/>
        <w:autoSpaceDN w:val="0"/>
        <w:adjustRightInd w:val="0"/>
        <w:ind w:left="7513"/>
        <w:jc w:val="left"/>
        <w:rPr>
          <w:rFonts w:ascii="Times New Roman" w:hAnsi="Times New Roman" w:cs="Times New Roman"/>
          <w:sz w:val="28"/>
          <w:szCs w:val="28"/>
        </w:rPr>
      </w:pP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655FB7">
        <w:rPr>
          <w:rFonts w:ascii="Times New Roman" w:hAnsi="Times New Roman" w:cs="Times New Roman"/>
          <w:i/>
          <w:iCs/>
          <w:sz w:val="28"/>
          <w:szCs w:val="28"/>
        </w:rPr>
        <w:t xml:space="preserve">(прізвище, ім’я, </w:t>
      </w:r>
      <w:proofErr w:type="spellStart"/>
      <w:r w:rsidRPr="00655FB7">
        <w:rPr>
          <w:rFonts w:ascii="Times New Roman" w:hAnsi="Times New Roman" w:cs="Times New Roman"/>
          <w:i/>
          <w:iCs/>
          <w:sz w:val="28"/>
          <w:szCs w:val="28"/>
        </w:rPr>
        <w:t>по-</w:t>
      </w:r>
      <w:proofErr w:type="spellEnd"/>
      <w:r w:rsidRPr="00655FB7">
        <w:rPr>
          <w:rFonts w:ascii="Times New Roman" w:hAnsi="Times New Roman" w:cs="Times New Roman"/>
          <w:i/>
          <w:iCs/>
          <w:sz w:val="28"/>
          <w:szCs w:val="28"/>
        </w:rPr>
        <w:t xml:space="preserve"> батькові)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55FB7">
        <w:rPr>
          <w:rFonts w:ascii="Times New Roman" w:hAnsi="Times New Roman" w:cs="Times New Roman"/>
          <w:i/>
          <w:iCs/>
          <w:sz w:val="28"/>
          <w:szCs w:val="28"/>
        </w:rPr>
        <w:t>(прізвище, ім'я, по-батькові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FB7">
        <w:rPr>
          <w:rFonts w:ascii="Times New Roman" w:hAnsi="Times New Roman" w:cs="Times New Roman"/>
          <w:i/>
          <w:iCs/>
          <w:sz w:val="28"/>
          <w:szCs w:val="28"/>
        </w:rPr>
        <w:t>уповноваженого представника Співвласників)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Адреса: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5FB7" w:rsidRP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5FB7" w:rsidRDefault="00655FB7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Контактний телефон 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62E4C" w:rsidRPr="00655FB7" w:rsidRDefault="00A62E4C" w:rsidP="00655FB7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sz w:val="28"/>
          <w:szCs w:val="28"/>
        </w:rPr>
      </w:pPr>
    </w:p>
    <w:p w:rsidR="00655FB7" w:rsidRPr="00A62E4C" w:rsidRDefault="00655FB7" w:rsidP="00A62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4C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62E4C" w:rsidRPr="00655FB7" w:rsidRDefault="00A62E4C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55FB7" w:rsidRPr="00655FB7" w:rsidRDefault="00A62E4C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FB7" w:rsidRPr="00655FB7">
        <w:rPr>
          <w:rFonts w:ascii="Times New Roman" w:hAnsi="Times New Roman" w:cs="Times New Roman"/>
          <w:sz w:val="28"/>
          <w:szCs w:val="28"/>
        </w:rPr>
        <w:t xml:space="preserve">Просимо прийняти участь у </w:t>
      </w:r>
      <w:proofErr w:type="spellStart"/>
      <w:r w:rsidR="00655FB7" w:rsidRPr="00655FB7">
        <w:rPr>
          <w:rFonts w:ascii="Times New Roman" w:hAnsi="Times New Roman" w:cs="Times New Roman"/>
          <w:sz w:val="28"/>
          <w:szCs w:val="28"/>
        </w:rPr>
        <w:t>співфінансуванні</w:t>
      </w:r>
      <w:proofErr w:type="spellEnd"/>
      <w:r w:rsidR="00655FB7" w:rsidRPr="00655FB7">
        <w:rPr>
          <w:rFonts w:ascii="Times New Roman" w:hAnsi="Times New Roman" w:cs="Times New Roman"/>
          <w:sz w:val="28"/>
          <w:szCs w:val="28"/>
        </w:rPr>
        <w:t xml:space="preserve"> робіт з капітального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5FB7" w:rsidRPr="00655FB7">
        <w:rPr>
          <w:rFonts w:ascii="Times New Roman" w:hAnsi="Times New Roman" w:cs="Times New Roman"/>
          <w:sz w:val="28"/>
          <w:szCs w:val="28"/>
        </w:rPr>
        <w:t>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B7" w:rsidRPr="00655FB7">
        <w:rPr>
          <w:rFonts w:ascii="Times New Roman" w:hAnsi="Times New Roman" w:cs="Times New Roman"/>
          <w:sz w:val="28"/>
          <w:szCs w:val="28"/>
        </w:rPr>
        <w:t>багатоквартирного житлового будинку</w:t>
      </w:r>
      <w:r w:rsidR="007B516B">
        <w:rPr>
          <w:rFonts w:ascii="Times New Roman" w:hAnsi="Times New Roman" w:cs="Times New Roman"/>
          <w:sz w:val="28"/>
          <w:szCs w:val="28"/>
        </w:rPr>
        <w:t xml:space="preserve"> (назва ОСББ)</w:t>
      </w:r>
      <w:r w:rsidR="00655FB7" w:rsidRPr="0065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B7" w:rsidRPr="00655FB7" w:rsidRDefault="00655FB7" w:rsidP="00655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  <w:r w:rsidR="00035C17">
        <w:rPr>
          <w:rFonts w:ascii="Times New Roman" w:hAnsi="Times New Roman" w:cs="Times New Roman"/>
          <w:sz w:val="28"/>
          <w:szCs w:val="28"/>
        </w:rPr>
        <w:t>,</w:t>
      </w:r>
    </w:p>
    <w:p w:rsidR="00655FB7" w:rsidRPr="00655FB7" w:rsidRDefault="00035C1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яке </w:t>
      </w:r>
      <w:r w:rsidR="00655FB7" w:rsidRPr="00655FB7">
        <w:rPr>
          <w:rFonts w:ascii="Times New Roman" w:hAnsi="Times New Roman" w:cs="Times New Roman"/>
          <w:sz w:val="28"/>
          <w:szCs w:val="28"/>
        </w:rPr>
        <w:t>знаходиться за адресою: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A62E4C" w:rsidRPr="00655FB7" w:rsidRDefault="00A62E4C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вимогами Програми </w:t>
      </w:r>
      <w:r w:rsidRPr="00A62E4C">
        <w:rPr>
          <w:rFonts w:ascii="Times New Roman" w:hAnsi="Times New Roman" w:cs="Times New Roman"/>
          <w:sz w:val="28"/>
          <w:szCs w:val="28"/>
        </w:rPr>
        <w:t xml:space="preserve">співфінансування проведення капітальних ремонтів у житлових будинках ОСББ </w:t>
      </w:r>
      <w:r w:rsidR="00553D9E">
        <w:rPr>
          <w:rFonts w:ascii="Times New Roman" w:hAnsi="Times New Roman" w:cs="Times New Roman"/>
          <w:sz w:val="28"/>
          <w:szCs w:val="28"/>
        </w:rPr>
        <w:t>м. Коломиї</w:t>
      </w:r>
      <w:r w:rsidRPr="00A62E4C">
        <w:rPr>
          <w:rFonts w:ascii="Times New Roman" w:hAnsi="Times New Roman" w:cs="Times New Roman"/>
          <w:sz w:val="28"/>
          <w:szCs w:val="28"/>
        </w:rPr>
        <w:t xml:space="preserve"> на 2021-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2E4C">
        <w:rPr>
          <w:rFonts w:ascii="Times New Roman" w:hAnsi="Times New Roman" w:cs="Times New Roman"/>
          <w:sz w:val="28"/>
          <w:szCs w:val="28"/>
        </w:rPr>
        <w:t>022 роки</w:t>
      </w:r>
      <w:r>
        <w:rPr>
          <w:rFonts w:ascii="Times New Roman" w:hAnsi="Times New Roman" w:cs="Times New Roman"/>
          <w:sz w:val="28"/>
          <w:szCs w:val="28"/>
        </w:rPr>
        <w:t xml:space="preserve"> ознайомлений(а).</w:t>
      </w:r>
    </w:p>
    <w:p w:rsidR="00A62E4C" w:rsidRDefault="00A62E4C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62E4C" w:rsidRDefault="00A62E4C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55FB7" w:rsidRPr="00655FB7" w:rsidRDefault="00655FB7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55F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2E4C">
        <w:rPr>
          <w:rFonts w:ascii="Times New Roman" w:hAnsi="Times New Roman" w:cs="Times New Roman"/>
          <w:sz w:val="28"/>
          <w:szCs w:val="28"/>
        </w:rPr>
        <w:t>___________</w:t>
      </w:r>
    </w:p>
    <w:p w:rsidR="00655FB7" w:rsidRDefault="00A62E4C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E4C" w:rsidRPr="00655FB7" w:rsidRDefault="00A62E4C" w:rsidP="00655F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62E4C" w:rsidRDefault="00A62E4C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35CA" w:rsidRDefault="000E35CA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35CA" w:rsidRDefault="000E35CA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035C17">
        <w:rPr>
          <w:rFonts w:ascii="Times New Roman" w:hAnsi="Times New Roman" w:cs="Times New Roman"/>
          <w:sz w:val="28"/>
          <w:szCs w:val="28"/>
        </w:rPr>
        <w:t xml:space="preserve"> ОСББ</w:t>
      </w: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(уповноважена особа)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/__________________/</w:t>
      </w: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B516B">
        <w:rPr>
          <w:rFonts w:ascii="Times New Roman" w:hAnsi="Times New Roman" w:cs="Times New Roman"/>
          <w:sz w:val="24"/>
          <w:szCs w:val="24"/>
        </w:rPr>
        <w:t xml:space="preserve">(підпис)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516B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35CA" w:rsidRDefault="000E35CA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35CA" w:rsidRDefault="000E35CA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16B" w:rsidRDefault="007B516B" w:rsidP="00A62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Реєстраційний номер №______                      «______» ______________20__ року</w:t>
      </w:r>
    </w:p>
    <w:p w:rsidR="00C110BE" w:rsidRDefault="003B4009" w:rsidP="003B4009">
      <w:pPr>
        <w:autoSpaceDE w:val="0"/>
        <w:autoSpaceDN w:val="0"/>
        <w:adjustRightInd w:val="0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3B4009" w:rsidRDefault="003B4009" w:rsidP="003B4009">
      <w:pPr>
        <w:autoSpaceDE w:val="0"/>
        <w:autoSpaceDN w:val="0"/>
        <w:adjustRightInd w:val="0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Порядку</w:t>
      </w:r>
    </w:p>
    <w:p w:rsidR="003B4009" w:rsidRDefault="003B4009" w:rsidP="00B01DFA">
      <w:pPr>
        <w:autoSpaceDE w:val="0"/>
        <w:autoSpaceDN w:val="0"/>
        <w:adjustRightInd w:val="0"/>
        <w:ind w:left="4111"/>
        <w:rPr>
          <w:rFonts w:ascii="Times New Roman" w:hAnsi="Times New Roman" w:cs="Times New Roman"/>
          <w:sz w:val="28"/>
          <w:szCs w:val="28"/>
        </w:rPr>
      </w:pPr>
    </w:p>
    <w:p w:rsidR="00B01DFA" w:rsidRPr="00B01DFA" w:rsidRDefault="00B01DFA" w:rsidP="00B01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01DFA" w:rsidRPr="00B01DFA" w:rsidRDefault="00B01DFA" w:rsidP="00B01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A">
        <w:rPr>
          <w:rFonts w:ascii="Times New Roman" w:hAnsi="Times New Roman" w:cs="Times New Roman"/>
          <w:b/>
          <w:bCs/>
          <w:sz w:val="28"/>
          <w:szCs w:val="28"/>
        </w:rPr>
        <w:t>зборів співвласників багатоквартирного будинку</w:t>
      </w:r>
    </w:p>
    <w:p w:rsidR="00B01DFA" w:rsidRPr="00B01DFA" w:rsidRDefault="00B01DFA" w:rsidP="00B01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  <w:r w:rsidR="00ED71E2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(</w:t>
      </w:r>
      <w:r w:rsidR="00ED71E2">
        <w:rPr>
          <w:rFonts w:ascii="Times New Roman" w:hAnsi="Times New Roman" w:cs="Times New Roman"/>
          <w:sz w:val="28"/>
          <w:szCs w:val="28"/>
        </w:rPr>
        <w:t xml:space="preserve">назва ОСББ, </w:t>
      </w:r>
      <w:r w:rsidRPr="00B01DFA">
        <w:rPr>
          <w:rFonts w:ascii="Times New Roman" w:hAnsi="Times New Roman" w:cs="Times New Roman"/>
          <w:sz w:val="28"/>
          <w:szCs w:val="28"/>
        </w:rPr>
        <w:t>місцезнаходження багатоквартирного будинку, співвласниками якого проводяться</w:t>
      </w:r>
      <w:r w:rsidR="00ED71E2">
        <w:rPr>
          <w:rFonts w:ascii="Times New Roman" w:hAnsi="Times New Roman" w:cs="Times New Roman"/>
          <w:sz w:val="28"/>
          <w:szCs w:val="28"/>
        </w:rPr>
        <w:t xml:space="preserve"> </w:t>
      </w:r>
      <w:r w:rsidRPr="00B01DFA">
        <w:rPr>
          <w:rFonts w:ascii="Times New Roman" w:hAnsi="Times New Roman" w:cs="Times New Roman"/>
          <w:sz w:val="28"/>
          <w:szCs w:val="28"/>
        </w:rPr>
        <w:t>збори)</w:t>
      </w:r>
    </w:p>
    <w:p w:rsidR="00ED71E2" w:rsidRPr="00B01DFA" w:rsidRDefault="00ED71E2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м.</w:t>
      </w:r>
      <w:r w:rsidR="00ED71E2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</w:r>
      <w:r w:rsidR="00ED71E2">
        <w:rPr>
          <w:rFonts w:ascii="Times New Roman" w:hAnsi="Times New Roman" w:cs="Times New Roman"/>
          <w:sz w:val="28"/>
          <w:szCs w:val="28"/>
        </w:rPr>
        <w:tab/>
        <w:t>«</w:t>
      </w:r>
      <w:r w:rsidRPr="00B01DFA">
        <w:rPr>
          <w:rFonts w:ascii="Times New Roman" w:hAnsi="Times New Roman" w:cs="Times New Roman"/>
          <w:sz w:val="28"/>
          <w:szCs w:val="28"/>
        </w:rPr>
        <w:t xml:space="preserve"> ___</w:t>
      </w:r>
      <w:r w:rsidR="00ED71E2">
        <w:rPr>
          <w:rFonts w:ascii="Times New Roman" w:hAnsi="Times New Roman" w:cs="Times New Roman"/>
          <w:sz w:val="28"/>
          <w:szCs w:val="28"/>
        </w:rPr>
        <w:t>»</w:t>
      </w:r>
      <w:r w:rsidRPr="00B01DFA">
        <w:rPr>
          <w:rFonts w:ascii="Times New Roman" w:hAnsi="Times New Roman" w:cs="Times New Roman"/>
          <w:sz w:val="28"/>
          <w:szCs w:val="28"/>
        </w:rPr>
        <w:t xml:space="preserve"> ___________ 20__р.</w:t>
      </w:r>
    </w:p>
    <w:p w:rsidR="00ED71E2" w:rsidRPr="00B01DFA" w:rsidRDefault="00ED71E2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01DFA" w:rsidRDefault="00B01DFA" w:rsidP="00ED7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І. ЗАГАЛЬНА ІНФОРМАЦІЯ</w:t>
      </w:r>
    </w:p>
    <w:p w:rsidR="00ED71E2" w:rsidRPr="00B01DFA" w:rsidRDefault="00ED71E2" w:rsidP="00ED7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1DFA" w:rsidRPr="00B01DFA" w:rsidRDefault="00B01DFA" w:rsidP="00ED7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Загальна кількість співвласників багатоквартирного будинку: __________ осіб.</w:t>
      </w:r>
    </w:p>
    <w:p w:rsidR="00B01DFA" w:rsidRPr="00B01DFA" w:rsidRDefault="00B01DFA" w:rsidP="00ED7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Загальна площа всіх квартир та нежитлових приміщень багатоквартирного будинку:</w:t>
      </w:r>
      <w:r w:rsidR="00ED71E2">
        <w:rPr>
          <w:rFonts w:ascii="Times New Roman" w:hAnsi="Times New Roman" w:cs="Times New Roman"/>
          <w:sz w:val="28"/>
          <w:szCs w:val="28"/>
        </w:rPr>
        <w:t xml:space="preserve"> </w:t>
      </w:r>
      <w:r w:rsidRPr="00B01DFA">
        <w:rPr>
          <w:rFonts w:ascii="Times New Roman" w:hAnsi="Times New Roman" w:cs="Times New Roman"/>
          <w:sz w:val="28"/>
          <w:szCs w:val="28"/>
        </w:rPr>
        <w:t>_________ м2.</w:t>
      </w:r>
    </w:p>
    <w:p w:rsidR="00B01DFA" w:rsidRPr="00B01DFA" w:rsidRDefault="00B01DFA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У зборах взяли участь особисто та/або через представників співвласники в</w:t>
      </w:r>
    </w:p>
    <w:p w:rsidR="00B01DFA" w:rsidRPr="00B01DFA" w:rsidRDefault="00B01DFA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кількості_________ осіб, яким належать квартири та/або нежитлові приміщення</w:t>
      </w:r>
    </w:p>
    <w:p w:rsidR="00B01DFA" w:rsidRPr="00B01DFA" w:rsidRDefault="00B01DFA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багатоквартирного будинку загальною площею _______________ м2.</w:t>
      </w:r>
    </w:p>
    <w:p w:rsidR="00B01DFA" w:rsidRPr="00B01DFA" w:rsidRDefault="00B01DFA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1DFA" w:rsidRPr="00B01DFA" w:rsidRDefault="00B01DFA" w:rsidP="00ED7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ІІ. ПОРЯДОК ДЕННИЙ ЗБОРІВ</w:t>
      </w:r>
    </w:p>
    <w:p w:rsidR="00B01DFA" w:rsidRP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B01DFA" w:rsidRP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(перелік і нумерація продовжується за кількістю питань порядку денного)</w:t>
      </w:r>
    </w:p>
    <w:p w:rsidR="00ED71E2" w:rsidRPr="00B01DFA" w:rsidRDefault="00ED71E2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01DFA" w:rsidRPr="00B01DFA" w:rsidRDefault="00B01DFA" w:rsidP="00ED7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ІІІ. РОЗГЛЯД ПИТАНЬ ПОРЯДКУ ДЕННОГО ЗБОРІВ</w:t>
      </w:r>
    </w:p>
    <w:p w:rsidR="00B01DFA" w:rsidRP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 xml:space="preserve">Питання порядку </w:t>
      </w:r>
      <w:r w:rsidR="00ED71E2">
        <w:rPr>
          <w:rFonts w:ascii="Times New Roman" w:hAnsi="Times New Roman" w:cs="Times New Roman"/>
          <w:sz w:val="28"/>
          <w:szCs w:val="28"/>
        </w:rPr>
        <w:t>д</w:t>
      </w:r>
      <w:r w:rsidRPr="00B01DFA">
        <w:rPr>
          <w:rFonts w:ascii="Times New Roman" w:hAnsi="Times New Roman" w:cs="Times New Roman"/>
          <w:sz w:val="28"/>
          <w:szCs w:val="28"/>
        </w:rPr>
        <w:t>енного:____________________</w:t>
      </w:r>
      <w:r w:rsidR="00ED71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1DFA" w:rsidRPr="00B01DFA" w:rsidRDefault="00ED71E2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1DFA" w:rsidRPr="00B01DFA">
        <w:rPr>
          <w:rFonts w:ascii="Times New Roman" w:hAnsi="Times New Roman" w:cs="Times New Roman"/>
          <w:sz w:val="28"/>
          <w:szCs w:val="28"/>
        </w:rPr>
        <w:t>(порядковий № та зміст питання порядку денного)</w:t>
      </w:r>
    </w:p>
    <w:p w:rsidR="00B01DFA" w:rsidRP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Пропозиція, яка ставиться на голосування щодо питання порядку денного:</w:t>
      </w:r>
    </w:p>
    <w:p w:rsidR="00B01DFA" w:rsidRP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D71E2">
        <w:rPr>
          <w:rFonts w:ascii="Times New Roman" w:hAnsi="Times New Roman" w:cs="Times New Roman"/>
          <w:sz w:val="28"/>
          <w:szCs w:val="28"/>
        </w:rPr>
        <w:t>____________________</w:t>
      </w:r>
    </w:p>
    <w:p w:rsidR="00B01DFA" w:rsidRDefault="00B01DFA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01DFA">
        <w:rPr>
          <w:rFonts w:ascii="Times New Roman" w:hAnsi="Times New Roman" w:cs="Times New Roman"/>
          <w:sz w:val="28"/>
          <w:szCs w:val="28"/>
        </w:rPr>
        <w:t>Голосування на зборах щодо питання порядку денного:</w:t>
      </w:r>
    </w:p>
    <w:p w:rsidR="00ED71E2" w:rsidRDefault="00ED71E2" w:rsidP="00B01DF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1763"/>
        <w:gridCol w:w="2095"/>
        <w:gridCol w:w="2006"/>
        <w:gridCol w:w="2023"/>
        <w:gridCol w:w="1346"/>
      </w:tblGrid>
      <w:tr w:rsidR="00A76FBE" w:rsidTr="00A76FBE">
        <w:tc>
          <w:tcPr>
            <w:tcW w:w="621" w:type="dxa"/>
          </w:tcPr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63" w:type="dxa"/>
          </w:tcPr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квартири/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</w:p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</w:p>
        </w:tc>
        <w:tc>
          <w:tcPr>
            <w:tcW w:w="2095" w:type="dxa"/>
          </w:tcPr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співвласника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або його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представника</w:t>
            </w:r>
          </w:p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голосування («за»,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«проти»,</w:t>
            </w:r>
          </w:p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«утримався»)</w:t>
            </w:r>
          </w:p>
        </w:tc>
        <w:tc>
          <w:tcPr>
            <w:tcW w:w="2023" w:type="dxa"/>
          </w:tcPr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співвласника</w:t>
            </w:r>
          </w:p>
          <w:p w:rsidR="00A76FBE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E2">
              <w:rPr>
                <w:rFonts w:ascii="Times New Roman" w:hAnsi="Times New Roman" w:cs="Times New Roman"/>
                <w:sz w:val="28"/>
                <w:szCs w:val="28"/>
              </w:rPr>
              <w:t>(представника)</w:t>
            </w:r>
          </w:p>
        </w:tc>
        <w:tc>
          <w:tcPr>
            <w:tcW w:w="1346" w:type="dxa"/>
          </w:tcPr>
          <w:p w:rsidR="00A76FBE" w:rsidRPr="00ED71E2" w:rsidRDefault="00A76FBE" w:rsidP="00ED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6FBE" w:rsidTr="00A76FBE">
        <w:tc>
          <w:tcPr>
            <w:tcW w:w="621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BE" w:rsidTr="00A76FBE">
        <w:tc>
          <w:tcPr>
            <w:tcW w:w="621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BE" w:rsidTr="00A76FBE">
        <w:tc>
          <w:tcPr>
            <w:tcW w:w="621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76FBE" w:rsidRDefault="00A76FBE" w:rsidP="00B01D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1E2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(нумерація продовжується за кількістю квартир/нежитлових приміщень та їх співвласників,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беруть участь у голосуванні. У разі продовження нумерації на наступній сторінці (сторінках)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 xml:space="preserve">протоколу позиції «Питання порядку </w:t>
      </w:r>
      <w:r w:rsidRPr="00A76FBE">
        <w:rPr>
          <w:rFonts w:ascii="Times New Roman" w:hAnsi="Times New Roman" w:cs="Times New Roman"/>
          <w:sz w:val="28"/>
          <w:szCs w:val="28"/>
        </w:rPr>
        <w:lastRenderedPageBreak/>
        <w:t>денного» та «Пропозиція, яка ставиться на голосування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 xml:space="preserve">питання порядку денного», а також заголовок таблиці повторюються на початку кожної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6FBE">
        <w:rPr>
          <w:rFonts w:ascii="Times New Roman" w:hAnsi="Times New Roman" w:cs="Times New Roman"/>
          <w:sz w:val="28"/>
          <w:szCs w:val="28"/>
        </w:rPr>
        <w:t>торінки).</w:t>
      </w: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 xml:space="preserve">Підсумки голосування (з урахуванням голосів, поданих на зборах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6FBE">
        <w:rPr>
          <w:rFonts w:ascii="Times New Roman" w:hAnsi="Times New Roman" w:cs="Times New Roman"/>
          <w:sz w:val="28"/>
          <w:szCs w:val="28"/>
        </w:rPr>
        <w:t>піввласників,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голосів співвласників, отриманих під час проведення письмового опитування, якщо 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проводилося):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</w:t>
      </w:r>
      <w:r w:rsidRPr="00A76FBE">
        <w:rPr>
          <w:rFonts w:ascii="Times New Roman" w:hAnsi="Times New Roman" w:cs="Times New Roman"/>
          <w:sz w:val="28"/>
          <w:szCs w:val="28"/>
        </w:rPr>
        <w:t xml:space="preserve"> співвласників, загальна площа квартир та/або нежитлових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приміщ</w:t>
      </w:r>
      <w:r>
        <w:rPr>
          <w:rFonts w:ascii="Times New Roman" w:hAnsi="Times New Roman" w:cs="Times New Roman"/>
          <w:sz w:val="28"/>
          <w:szCs w:val="28"/>
        </w:rPr>
        <w:t>ень яких становить ____</w:t>
      </w:r>
      <w:r w:rsidRPr="00A76FBE">
        <w:rPr>
          <w:rFonts w:ascii="Times New Roman" w:hAnsi="Times New Roman" w:cs="Times New Roman"/>
          <w:sz w:val="28"/>
          <w:szCs w:val="28"/>
        </w:rPr>
        <w:t>м2;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«проти» -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6FBE">
        <w:rPr>
          <w:rFonts w:ascii="Times New Roman" w:hAnsi="Times New Roman" w:cs="Times New Roman"/>
          <w:sz w:val="28"/>
          <w:szCs w:val="28"/>
        </w:rPr>
        <w:t xml:space="preserve"> співвласників, загальна площа квартир та/або нежитлових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іщень яких становить ___</w:t>
      </w:r>
      <w:r w:rsidRPr="00A76FBE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«утримався» - ___</w:t>
      </w:r>
      <w:r w:rsidRPr="00A76FBE">
        <w:rPr>
          <w:rFonts w:ascii="Times New Roman" w:hAnsi="Times New Roman" w:cs="Times New Roman"/>
          <w:sz w:val="28"/>
          <w:szCs w:val="28"/>
        </w:rPr>
        <w:t xml:space="preserve"> співвласників, загальна площа квартир та/або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нежитлових прим</w:t>
      </w:r>
      <w:r>
        <w:rPr>
          <w:rFonts w:ascii="Times New Roman" w:hAnsi="Times New Roman" w:cs="Times New Roman"/>
          <w:sz w:val="28"/>
          <w:szCs w:val="28"/>
        </w:rPr>
        <w:t>іщень яких становить ___</w:t>
      </w:r>
      <w:r w:rsidRPr="00A76FBE">
        <w:rPr>
          <w:rFonts w:ascii="Times New Roman" w:hAnsi="Times New Roman" w:cs="Times New Roman"/>
          <w:sz w:val="28"/>
          <w:szCs w:val="28"/>
        </w:rPr>
        <w:t xml:space="preserve"> м2.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Рішення_____________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76FBE">
        <w:rPr>
          <w:rFonts w:ascii="Times New Roman" w:hAnsi="Times New Roman" w:cs="Times New Roman"/>
          <w:sz w:val="28"/>
          <w:szCs w:val="28"/>
        </w:rPr>
        <w:t xml:space="preserve"> (прийнято або не прийнято).</w:t>
      </w: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Підпис(и), прізвище(а), ініціали особи (осіб), що склала(и) протокол (повторюється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BE">
        <w:rPr>
          <w:rFonts w:ascii="Times New Roman" w:hAnsi="Times New Roman" w:cs="Times New Roman"/>
          <w:sz w:val="28"/>
          <w:szCs w:val="28"/>
        </w:rPr>
        <w:t>кожній сторінці)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_________/________________________/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_________/________________________/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_________/________________________/</w:t>
      </w: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BE">
        <w:rPr>
          <w:rFonts w:ascii="Times New Roman" w:hAnsi="Times New Roman" w:cs="Times New Roman"/>
          <w:sz w:val="28"/>
          <w:szCs w:val="28"/>
        </w:rPr>
        <w:t>Дані розділу III заповнюються за наведеною формою окремо для кожного питання порядку денного.</w:t>
      </w: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76FBE">
        <w:rPr>
          <w:rFonts w:ascii="Times New Roman" w:hAnsi="Times New Roman" w:cs="Times New Roman"/>
          <w:b/>
          <w:sz w:val="28"/>
          <w:szCs w:val="28"/>
        </w:rPr>
        <w:t>Начальник відділу інвестиційної політики</w:t>
      </w:r>
    </w:p>
    <w:p w:rsidR="00A76FBE" w:rsidRPr="00A76FBE" w:rsidRDefault="00A76FBE" w:rsidP="00A76F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76FBE">
        <w:rPr>
          <w:rFonts w:ascii="Times New Roman" w:hAnsi="Times New Roman" w:cs="Times New Roman"/>
          <w:b/>
          <w:sz w:val="28"/>
          <w:szCs w:val="28"/>
        </w:rPr>
        <w:t>та енергозбереження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A76FBE">
        <w:rPr>
          <w:rFonts w:ascii="Times New Roman" w:hAnsi="Times New Roman" w:cs="Times New Roman"/>
          <w:b/>
          <w:sz w:val="28"/>
          <w:szCs w:val="28"/>
        </w:rPr>
        <w:t>Ірина ЖОЛОБ</w:t>
      </w:r>
    </w:p>
    <w:sectPr w:rsidR="00A76FBE" w:rsidRPr="00A76FBE" w:rsidSect="005529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41" w:rsidRDefault="00120141">
      <w:r>
        <w:separator/>
      </w:r>
    </w:p>
  </w:endnote>
  <w:endnote w:type="continuationSeparator" w:id="0">
    <w:p w:rsidR="00120141" w:rsidRDefault="0012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41" w:rsidRDefault="00120141">
      <w:r>
        <w:separator/>
      </w:r>
    </w:p>
  </w:footnote>
  <w:footnote w:type="continuationSeparator" w:id="0">
    <w:p w:rsidR="00120141" w:rsidRDefault="0012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B" w:rsidRDefault="00C8516B">
    <w:pPr>
      <w:pStyle w:val="a7"/>
      <w:jc w:val="center"/>
    </w:pPr>
  </w:p>
  <w:p w:rsidR="00C8516B" w:rsidRDefault="00C851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C9" w:rsidRDefault="008F59C9">
    <w:pPr>
      <w:pStyle w:val="a7"/>
      <w:jc w:val="center"/>
    </w:pPr>
  </w:p>
  <w:p w:rsidR="00226A06" w:rsidRDefault="00226A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8B5"/>
    <w:multiLevelType w:val="hybridMultilevel"/>
    <w:tmpl w:val="5A02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2A2"/>
    <w:multiLevelType w:val="multilevel"/>
    <w:tmpl w:val="4AA6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707E61"/>
    <w:multiLevelType w:val="hybridMultilevel"/>
    <w:tmpl w:val="941A3E6E"/>
    <w:lvl w:ilvl="0" w:tplc="31BA2A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C543EE"/>
    <w:multiLevelType w:val="hybridMultilevel"/>
    <w:tmpl w:val="27C07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2"/>
    <w:rsid w:val="00011D8F"/>
    <w:rsid w:val="00035C17"/>
    <w:rsid w:val="00075850"/>
    <w:rsid w:val="00082F19"/>
    <w:rsid w:val="00094ECB"/>
    <w:rsid w:val="00095A1F"/>
    <w:rsid w:val="000A1D9B"/>
    <w:rsid w:val="000A33FE"/>
    <w:rsid w:val="000B22A8"/>
    <w:rsid w:val="000D4AFA"/>
    <w:rsid w:val="000E35CA"/>
    <w:rsid w:val="000E5863"/>
    <w:rsid w:val="000F7284"/>
    <w:rsid w:val="0010080D"/>
    <w:rsid w:val="00120141"/>
    <w:rsid w:val="00124898"/>
    <w:rsid w:val="00134A9B"/>
    <w:rsid w:val="00147BFE"/>
    <w:rsid w:val="00195588"/>
    <w:rsid w:val="001A113C"/>
    <w:rsid w:val="001D2005"/>
    <w:rsid w:val="001E4E56"/>
    <w:rsid w:val="001F7F51"/>
    <w:rsid w:val="00226A06"/>
    <w:rsid w:val="0023670E"/>
    <w:rsid w:val="002511BF"/>
    <w:rsid w:val="00264621"/>
    <w:rsid w:val="0027045C"/>
    <w:rsid w:val="002A7322"/>
    <w:rsid w:val="002D3557"/>
    <w:rsid w:val="0034435C"/>
    <w:rsid w:val="0035089D"/>
    <w:rsid w:val="00353028"/>
    <w:rsid w:val="00391E2F"/>
    <w:rsid w:val="003B2CC5"/>
    <w:rsid w:val="003B4009"/>
    <w:rsid w:val="003B67DC"/>
    <w:rsid w:val="003C1565"/>
    <w:rsid w:val="003D200E"/>
    <w:rsid w:val="003D6676"/>
    <w:rsid w:val="003E589F"/>
    <w:rsid w:val="003F1BC3"/>
    <w:rsid w:val="003F7939"/>
    <w:rsid w:val="0043579F"/>
    <w:rsid w:val="004537B8"/>
    <w:rsid w:val="004766AD"/>
    <w:rsid w:val="00482BDE"/>
    <w:rsid w:val="004E11B6"/>
    <w:rsid w:val="004E2CB3"/>
    <w:rsid w:val="004E7FDB"/>
    <w:rsid w:val="005036ED"/>
    <w:rsid w:val="00505926"/>
    <w:rsid w:val="00512D56"/>
    <w:rsid w:val="00513A32"/>
    <w:rsid w:val="00525CBE"/>
    <w:rsid w:val="005418C3"/>
    <w:rsid w:val="005474D7"/>
    <w:rsid w:val="00552997"/>
    <w:rsid w:val="00553D9E"/>
    <w:rsid w:val="0056406B"/>
    <w:rsid w:val="00575C65"/>
    <w:rsid w:val="005809A0"/>
    <w:rsid w:val="00593184"/>
    <w:rsid w:val="005966C2"/>
    <w:rsid w:val="005A3D83"/>
    <w:rsid w:val="005D121F"/>
    <w:rsid w:val="005F128B"/>
    <w:rsid w:val="005F7D72"/>
    <w:rsid w:val="00607146"/>
    <w:rsid w:val="006223ED"/>
    <w:rsid w:val="006419F3"/>
    <w:rsid w:val="00653415"/>
    <w:rsid w:val="006554B9"/>
    <w:rsid w:val="00655FB7"/>
    <w:rsid w:val="0065737B"/>
    <w:rsid w:val="006D3ED8"/>
    <w:rsid w:val="00717BA1"/>
    <w:rsid w:val="00724D02"/>
    <w:rsid w:val="00735D43"/>
    <w:rsid w:val="00742320"/>
    <w:rsid w:val="007500EE"/>
    <w:rsid w:val="00761C3F"/>
    <w:rsid w:val="00764AEB"/>
    <w:rsid w:val="007858EA"/>
    <w:rsid w:val="007B516B"/>
    <w:rsid w:val="007F6D0B"/>
    <w:rsid w:val="0082166B"/>
    <w:rsid w:val="008305E8"/>
    <w:rsid w:val="00841522"/>
    <w:rsid w:val="00843745"/>
    <w:rsid w:val="00871E58"/>
    <w:rsid w:val="00897CDE"/>
    <w:rsid w:val="008D35D9"/>
    <w:rsid w:val="008E6306"/>
    <w:rsid w:val="008F59C9"/>
    <w:rsid w:val="00946B59"/>
    <w:rsid w:val="00954E48"/>
    <w:rsid w:val="00956CE2"/>
    <w:rsid w:val="009661FF"/>
    <w:rsid w:val="00970795"/>
    <w:rsid w:val="00984120"/>
    <w:rsid w:val="0099132C"/>
    <w:rsid w:val="0099282A"/>
    <w:rsid w:val="009A7D9E"/>
    <w:rsid w:val="009B3863"/>
    <w:rsid w:val="009F20E8"/>
    <w:rsid w:val="00A0581D"/>
    <w:rsid w:val="00A234BC"/>
    <w:rsid w:val="00A46A2D"/>
    <w:rsid w:val="00A62E4C"/>
    <w:rsid w:val="00A73167"/>
    <w:rsid w:val="00A76FBE"/>
    <w:rsid w:val="00AC450E"/>
    <w:rsid w:val="00AD6484"/>
    <w:rsid w:val="00AF235A"/>
    <w:rsid w:val="00B01DFA"/>
    <w:rsid w:val="00B03F45"/>
    <w:rsid w:val="00B26D0A"/>
    <w:rsid w:val="00B32655"/>
    <w:rsid w:val="00B40027"/>
    <w:rsid w:val="00B4653D"/>
    <w:rsid w:val="00B6026A"/>
    <w:rsid w:val="00B61DB7"/>
    <w:rsid w:val="00B7653C"/>
    <w:rsid w:val="00B95F9D"/>
    <w:rsid w:val="00B96479"/>
    <w:rsid w:val="00BD0728"/>
    <w:rsid w:val="00BE2EB3"/>
    <w:rsid w:val="00C110BE"/>
    <w:rsid w:val="00C12233"/>
    <w:rsid w:val="00C2570C"/>
    <w:rsid w:val="00C70A34"/>
    <w:rsid w:val="00C8516B"/>
    <w:rsid w:val="00C93410"/>
    <w:rsid w:val="00D040A6"/>
    <w:rsid w:val="00D24509"/>
    <w:rsid w:val="00D4505C"/>
    <w:rsid w:val="00D46925"/>
    <w:rsid w:val="00D82950"/>
    <w:rsid w:val="00D838A8"/>
    <w:rsid w:val="00D91774"/>
    <w:rsid w:val="00DF380E"/>
    <w:rsid w:val="00E23F8E"/>
    <w:rsid w:val="00E46173"/>
    <w:rsid w:val="00E53B25"/>
    <w:rsid w:val="00E60B1C"/>
    <w:rsid w:val="00E64CE0"/>
    <w:rsid w:val="00E76237"/>
    <w:rsid w:val="00EC1172"/>
    <w:rsid w:val="00ED2C21"/>
    <w:rsid w:val="00ED71E2"/>
    <w:rsid w:val="00EE5C71"/>
    <w:rsid w:val="00EF10DE"/>
    <w:rsid w:val="00F1292D"/>
    <w:rsid w:val="00F16883"/>
    <w:rsid w:val="00F2108E"/>
    <w:rsid w:val="00F36156"/>
    <w:rsid w:val="00F507CF"/>
    <w:rsid w:val="00F7416A"/>
    <w:rsid w:val="00F913B7"/>
    <w:rsid w:val="00F92B55"/>
    <w:rsid w:val="00FB2991"/>
    <w:rsid w:val="00FC62AB"/>
    <w:rsid w:val="00FD7D5B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589F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3E589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Normal (Web)"/>
    <w:basedOn w:val="a"/>
    <w:uiPriority w:val="99"/>
    <w:unhideWhenUsed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3E58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89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9F"/>
  </w:style>
  <w:style w:type="paragraph" w:styleId="a9">
    <w:name w:val="No Spacing"/>
    <w:uiPriority w:val="1"/>
    <w:qFormat/>
    <w:rsid w:val="003E589F"/>
    <w:pPr>
      <w:spacing w:after="0" w:line="240" w:lineRule="auto"/>
      <w:jc w:val="both"/>
    </w:pPr>
  </w:style>
  <w:style w:type="character" w:customStyle="1" w:styleId="rvts245">
    <w:name w:val="rvts245"/>
    <w:basedOn w:val="a0"/>
    <w:rsid w:val="003E589F"/>
  </w:style>
  <w:style w:type="paragraph" w:customStyle="1" w:styleId="rvps261">
    <w:name w:val="rvps261"/>
    <w:basedOn w:val="a"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">
    <w:name w:val="rvps271"/>
    <w:basedOn w:val="a"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3E589F"/>
  </w:style>
  <w:style w:type="paragraph" w:styleId="aa">
    <w:name w:val="Balloon Text"/>
    <w:basedOn w:val="a"/>
    <w:link w:val="ab"/>
    <w:uiPriority w:val="99"/>
    <w:semiHidden/>
    <w:unhideWhenUsed/>
    <w:rsid w:val="00B400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0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4002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8516B"/>
    <w:pPr>
      <w:tabs>
        <w:tab w:val="center" w:pos="4986"/>
        <w:tab w:val="right" w:pos="9973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589F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3E589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Normal (Web)"/>
    <w:basedOn w:val="a"/>
    <w:uiPriority w:val="99"/>
    <w:unhideWhenUsed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3E58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89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9F"/>
  </w:style>
  <w:style w:type="paragraph" w:styleId="a9">
    <w:name w:val="No Spacing"/>
    <w:uiPriority w:val="1"/>
    <w:qFormat/>
    <w:rsid w:val="003E589F"/>
    <w:pPr>
      <w:spacing w:after="0" w:line="240" w:lineRule="auto"/>
      <w:jc w:val="both"/>
    </w:pPr>
  </w:style>
  <w:style w:type="character" w:customStyle="1" w:styleId="rvts245">
    <w:name w:val="rvts245"/>
    <w:basedOn w:val="a0"/>
    <w:rsid w:val="003E589F"/>
  </w:style>
  <w:style w:type="paragraph" w:customStyle="1" w:styleId="rvps261">
    <w:name w:val="rvps261"/>
    <w:basedOn w:val="a"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">
    <w:name w:val="rvps271"/>
    <w:basedOn w:val="a"/>
    <w:rsid w:val="003E5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3E589F"/>
  </w:style>
  <w:style w:type="paragraph" w:styleId="aa">
    <w:name w:val="Balloon Text"/>
    <w:basedOn w:val="a"/>
    <w:link w:val="ab"/>
    <w:uiPriority w:val="99"/>
    <w:semiHidden/>
    <w:unhideWhenUsed/>
    <w:rsid w:val="00B400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0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4002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8516B"/>
    <w:pPr>
      <w:tabs>
        <w:tab w:val="center" w:pos="4986"/>
        <w:tab w:val="right" w:pos="9973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F994-6506-48C8-9087-20B4057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 Олена Іванівна</dc:creator>
  <cp:lastModifiedBy>Мар'яна Мисюк</cp:lastModifiedBy>
  <cp:revision>2</cp:revision>
  <cp:lastPrinted>2021-05-06T08:02:00Z</cp:lastPrinted>
  <dcterms:created xsi:type="dcterms:W3CDTF">2021-05-06T12:01:00Z</dcterms:created>
  <dcterms:modified xsi:type="dcterms:W3CDTF">2021-05-06T12:01:00Z</dcterms:modified>
</cp:coreProperties>
</file>